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sz w:val="36"/>
          <w:szCs w:val="36"/>
        </w:rPr>
      </w:pPr>
      <w:r>
        <w:rPr>
          <w:rFonts w:hint="eastAsia" w:cs="宋体"/>
          <w:b/>
          <w:bCs/>
          <w:sz w:val="36"/>
          <w:szCs w:val="36"/>
        </w:rPr>
        <w:t>危废库</w:t>
      </w:r>
      <w:r>
        <w:rPr>
          <w:rFonts w:hint="eastAsia" w:cs="宋体"/>
          <w:b/>
          <w:bCs/>
          <w:sz w:val="36"/>
          <w:szCs w:val="36"/>
          <w:lang w:val="en-US" w:eastAsia="zh-CN"/>
        </w:rPr>
        <w:t>废气吸收系统增加设备基础和维修通道</w:t>
      </w:r>
      <w:r>
        <w:rPr>
          <w:rFonts w:hint="eastAsia" w:cs="宋体"/>
          <w:b/>
          <w:bCs/>
          <w:sz w:val="36"/>
          <w:szCs w:val="36"/>
        </w:rPr>
        <w:t>工程技术要求</w:t>
      </w:r>
    </w:p>
    <w:p>
      <w:pPr>
        <w:jc w:val="left"/>
        <w:rPr>
          <w:rFonts w:cs="宋体"/>
          <w:b/>
          <w:bCs/>
          <w:sz w:val="28"/>
          <w:szCs w:val="28"/>
        </w:rPr>
      </w:pPr>
      <w:r>
        <w:rPr>
          <w:rFonts w:hint="eastAsia" w:cs="宋体"/>
          <w:b/>
          <w:bCs/>
          <w:sz w:val="28"/>
          <w:szCs w:val="28"/>
        </w:rPr>
        <w:t>一、资质要求</w:t>
      </w:r>
    </w:p>
    <w:p>
      <w:pPr>
        <w:pStyle w:val="11"/>
        <w:widowControl/>
        <w:numPr>
          <w:ilvl w:val="0"/>
          <w:numId w:val="1"/>
        </w:numPr>
        <w:spacing w:line="400" w:lineRule="exact"/>
        <w:ind w:hanging="357" w:firstLineChars="0"/>
        <w:jc w:val="left"/>
        <w:rPr>
          <w:rFonts w:ascii="宋体" w:cs="Times New Roman"/>
          <w:kern w:val="0"/>
          <w:sz w:val="24"/>
          <w:szCs w:val="24"/>
        </w:rPr>
      </w:pPr>
      <w:r>
        <w:rPr>
          <w:rFonts w:hint="eastAsia" w:ascii="宋体" w:hAnsi="宋体" w:cs="宋体"/>
          <w:kern w:val="0"/>
          <w:sz w:val="24"/>
          <w:szCs w:val="24"/>
        </w:rPr>
        <w:t>具备房建总承包或装饰装修专业承包三级以上（含三级）</w:t>
      </w:r>
    </w:p>
    <w:p>
      <w:pPr>
        <w:pStyle w:val="11"/>
        <w:widowControl/>
        <w:numPr>
          <w:ilvl w:val="0"/>
          <w:numId w:val="1"/>
        </w:numPr>
        <w:spacing w:line="400" w:lineRule="exact"/>
        <w:ind w:hanging="357" w:firstLineChars="0"/>
        <w:jc w:val="left"/>
        <w:rPr>
          <w:rFonts w:ascii="宋体" w:cs="Times New Roman"/>
          <w:kern w:val="0"/>
          <w:sz w:val="24"/>
          <w:szCs w:val="24"/>
        </w:rPr>
      </w:pPr>
      <w:r>
        <w:rPr>
          <w:rFonts w:hint="eastAsia" w:ascii="宋体" w:hAnsi="宋体" w:cs="宋体"/>
          <w:kern w:val="0"/>
          <w:sz w:val="24"/>
          <w:szCs w:val="24"/>
        </w:rPr>
        <w:t>资质文件提供：</w:t>
      </w:r>
    </w:p>
    <w:p>
      <w:pPr>
        <w:pStyle w:val="11"/>
        <w:widowControl/>
        <w:numPr>
          <w:ilvl w:val="0"/>
          <w:numId w:val="2"/>
        </w:numPr>
        <w:spacing w:line="400" w:lineRule="exact"/>
        <w:ind w:hanging="357" w:firstLineChars="0"/>
        <w:jc w:val="left"/>
        <w:rPr>
          <w:rFonts w:ascii="宋体" w:cs="Times New Roman"/>
          <w:kern w:val="0"/>
          <w:sz w:val="24"/>
          <w:szCs w:val="24"/>
        </w:rPr>
      </w:pPr>
      <w:r>
        <w:rPr>
          <w:rFonts w:hint="eastAsia" w:ascii="宋体" w:hAnsi="宋体" w:cs="宋体"/>
          <w:kern w:val="0"/>
          <w:sz w:val="24"/>
          <w:szCs w:val="24"/>
        </w:rPr>
        <w:t>营业执照副本复印件</w:t>
      </w:r>
    </w:p>
    <w:p>
      <w:pPr>
        <w:pStyle w:val="11"/>
        <w:widowControl/>
        <w:numPr>
          <w:ilvl w:val="0"/>
          <w:numId w:val="2"/>
        </w:numPr>
        <w:spacing w:line="400" w:lineRule="exact"/>
        <w:ind w:hanging="357" w:firstLineChars="0"/>
        <w:jc w:val="left"/>
        <w:rPr>
          <w:rFonts w:ascii="宋体" w:cs="Times New Roman"/>
          <w:kern w:val="0"/>
          <w:sz w:val="24"/>
          <w:szCs w:val="24"/>
        </w:rPr>
      </w:pPr>
      <w:r>
        <w:rPr>
          <w:rFonts w:hint="eastAsia" w:ascii="宋体" w:hAnsi="宋体" w:cs="宋体"/>
          <w:kern w:val="0"/>
          <w:sz w:val="24"/>
          <w:szCs w:val="24"/>
        </w:rPr>
        <w:t>资质证书复印件</w:t>
      </w:r>
    </w:p>
    <w:p>
      <w:pPr>
        <w:pStyle w:val="11"/>
        <w:widowControl/>
        <w:numPr>
          <w:ilvl w:val="0"/>
          <w:numId w:val="2"/>
        </w:numPr>
        <w:spacing w:line="400" w:lineRule="exact"/>
        <w:ind w:hanging="357" w:firstLineChars="0"/>
        <w:jc w:val="left"/>
        <w:rPr>
          <w:rFonts w:ascii="宋体" w:cs="Times New Roman"/>
          <w:kern w:val="0"/>
          <w:sz w:val="24"/>
          <w:szCs w:val="24"/>
        </w:rPr>
      </w:pPr>
      <w:r>
        <w:rPr>
          <w:rFonts w:hint="eastAsia" w:ascii="宋体" w:hAnsi="宋体" w:cs="宋体"/>
          <w:kern w:val="0"/>
          <w:sz w:val="24"/>
          <w:szCs w:val="24"/>
        </w:rPr>
        <w:t>其他相关企业认证文件等</w:t>
      </w:r>
    </w:p>
    <w:p>
      <w:pPr>
        <w:pStyle w:val="11"/>
        <w:widowControl/>
        <w:numPr>
          <w:ilvl w:val="0"/>
          <w:numId w:val="2"/>
        </w:numPr>
        <w:spacing w:line="400" w:lineRule="exact"/>
        <w:ind w:hanging="357" w:firstLineChars="0"/>
        <w:jc w:val="left"/>
        <w:rPr>
          <w:rFonts w:ascii="宋体" w:cs="Times New Roman"/>
          <w:kern w:val="0"/>
          <w:sz w:val="24"/>
          <w:szCs w:val="24"/>
        </w:rPr>
      </w:pPr>
      <w:r>
        <w:rPr>
          <w:rFonts w:hint="eastAsia" w:ascii="Times New Roman" w:hAnsi="Times New Roman" w:cs="Times New Roman"/>
          <w:sz w:val="24"/>
          <w:szCs w:val="24"/>
        </w:rPr>
        <w:t>近3年相关工程业绩2份（施工合同复印件，在帝益公司供应商库内的无需提供）</w:t>
      </w:r>
    </w:p>
    <w:p>
      <w:pPr>
        <w:pStyle w:val="11"/>
        <w:widowControl/>
        <w:numPr>
          <w:ilvl w:val="0"/>
          <w:numId w:val="1"/>
        </w:numPr>
        <w:spacing w:line="400" w:lineRule="exact"/>
        <w:ind w:hanging="357" w:firstLineChars="0"/>
        <w:jc w:val="left"/>
        <w:rPr>
          <w:rFonts w:cs="宋体"/>
          <w:b/>
          <w:bCs/>
          <w:sz w:val="24"/>
          <w:szCs w:val="24"/>
        </w:rPr>
      </w:pPr>
      <w:r>
        <w:rPr>
          <w:rFonts w:hint="eastAsia" w:ascii="宋体" w:hAnsi="宋体" w:cs="宋体"/>
          <w:kern w:val="0"/>
          <w:sz w:val="24"/>
          <w:szCs w:val="24"/>
        </w:rPr>
        <w:t>投标单位提供的资质文件均需加盖公章投标时需提供法人委托授权书原件、授权委托人身份证复印件（原件备查）</w:t>
      </w:r>
    </w:p>
    <w:p>
      <w:pPr>
        <w:numPr>
          <w:ilvl w:val="0"/>
          <w:numId w:val="1"/>
        </w:numPr>
        <w:spacing w:line="400" w:lineRule="exact"/>
        <w:ind w:hanging="357"/>
        <w:jc w:val="left"/>
        <w:rPr>
          <w:sz w:val="24"/>
        </w:rPr>
      </w:pPr>
      <w:r>
        <w:rPr>
          <w:rFonts w:hint="eastAsia"/>
          <w:sz w:val="24"/>
        </w:rPr>
        <w:t>中标单位不得将工程范围内的内容分包给同时参加该项目的投标单位，否则拉入公司的不合格供应商名录。</w:t>
      </w:r>
    </w:p>
    <w:p>
      <w:pPr>
        <w:jc w:val="left"/>
        <w:rPr>
          <w:rFonts w:cs="Times New Roman"/>
          <w:sz w:val="28"/>
          <w:szCs w:val="28"/>
        </w:rPr>
      </w:pPr>
      <w:r>
        <w:rPr>
          <w:rFonts w:hint="eastAsia" w:cs="宋体"/>
          <w:b/>
          <w:bCs/>
          <w:sz w:val="28"/>
          <w:szCs w:val="28"/>
        </w:rPr>
        <w:t>二</w:t>
      </w:r>
      <w:r>
        <w:rPr>
          <w:rFonts w:hint="eastAsia" w:cs="宋体"/>
          <w:sz w:val="28"/>
          <w:szCs w:val="28"/>
        </w:rPr>
        <w:t>、</w:t>
      </w:r>
      <w:r>
        <w:rPr>
          <w:rFonts w:hint="eastAsia" w:cs="宋体"/>
          <w:b/>
          <w:bCs/>
          <w:sz w:val="28"/>
          <w:szCs w:val="28"/>
        </w:rPr>
        <w:t>工程量清单</w:t>
      </w:r>
    </w:p>
    <w:tbl>
      <w:tblPr>
        <w:tblStyle w:val="6"/>
        <w:tblW w:w="7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176"/>
        <w:gridCol w:w="696"/>
        <w:gridCol w:w="696"/>
        <w:gridCol w:w="5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90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cs="宋体"/>
                <w:b/>
                <w:bCs/>
                <w:sz w:val="28"/>
                <w:szCs w:val="28"/>
              </w:rPr>
              <w:t>危废库</w:t>
            </w:r>
            <w:r>
              <w:rPr>
                <w:rFonts w:hint="eastAsia" w:cs="宋体"/>
                <w:b/>
                <w:bCs/>
                <w:sz w:val="28"/>
                <w:szCs w:val="28"/>
                <w:lang w:val="en-US" w:eastAsia="zh-CN"/>
              </w:rPr>
              <w:t>废气吸收系统增加设备基础和维修通道工程量清单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人工挖</w:t>
            </w:r>
            <w:r>
              <w:rPr>
                <w:rFonts w:hint="eastAsia" w:ascii="宋体" w:hAnsi="宋体" w:cs="宋体"/>
                <w:i w:val="0"/>
                <w:iCs w:val="0"/>
                <w:color w:val="000000"/>
                <w:kern w:val="0"/>
                <w:sz w:val="24"/>
                <w:szCs w:val="24"/>
                <w:u w:val="none"/>
                <w:lang w:val="en-US" w:eastAsia="zh-CN" w:bidi="ar"/>
              </w:rPr>
              <w:t>三类</w:t>
            </w:r>
            <w:r>
              <w:rPr>
                <w:rFonts w:hint="eastAsia" w:ascii="宋体" w:hAnsi="宋体" w:eastAsia="宋体" w:cs="宋体"/>
                <w:i w:val="0"/>
                <w:iCs w:val="0"/>
                <w:color w:val="000000"/>
                <w:kern w:val="0"/>
                <w:sz w:val="24"/>
                <w:szCs w:val="24"/>
                <w:u w:val="none"/>
                <w:lang w:val="en-US" w:eastAsia="zh-CN" w:bidi="ar"/>
              </w:rPr>
              <w:t>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回填土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分层夯实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坡道凿除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电镐凿除，厚度10cm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素土夯实、15cm碎石垫层、20cmC30砼基础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道路硬化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54.1</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素土回填、夯实，10cm碎石垫层、10cmC30砼硬化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护栏拆除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含原立柱</w:t>
            </w:r>
            <w:bookmarkStart w:id="0" w:name="_GoBack"/>
            <w:bookmarkEnd w:id="0"/>
            <w:r>
              <w:rPr>
                <w:rFonts w:hint="eastAsia" w:ascii="宋体" w:hAnsi="宋体" w:cs="宋体"/>
                <w:i w:val="0"/>
                <w:iCs w:val="0"/>
                <w:color w:val="000000"/>
                <w:sz w:val="24"/>
                <w:szCs w:val="24"/>
                <w:u w:val="none"/>
                <w:lang w:val="en-US" w:eastAsia="zh-CN"/>
              </w:rPr>
              <w:t>砼基础凿除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护栏基础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新增9个立柱基础，</w:t>
            </w:r>
            <w:r>
              <w:rPr>
                <w:rFonts w:hint="eastAsia" w:ascii="宋体" w:hAnsi="宋体" w:cs="宋体"/>
                <w:i w:val="0"/>
                <w:iCs w:val="0"/>
                <w:color w:val="000000"/>
                <w:kern w:val="0"/>
                <w:sz w:val="24"/>
                <w:szCs w:val="24"/>
                <w:u w:val="none"/>
                <w:lang w:val="en-US" w:eastAsia="zh-CN" w:bidi="ar"/>
              </w:rPr>
              <w:t>基础尺寸</w:t>
            </w:r>
            <w:r>
              <w:rPr>
                <w:rFonts w:hint="eastAsia" w:ascii="宋体" w:hAnsi="宋体" w:eastAsia="宋体" w:cs="宋体"/>
                <w:i w:val="0"/>
                <w:iCs w:val="0"/>
                <w:color w:val="000000"/>
                <w:kern w:val="0"/>
                <w:sz w:val="24"/>
                <w:szCs w:val="24"/>
                <w:u w:val="none"/>
                <w:lang w:val="en-US" w:eastAsia="zh-CN" w:bidi="ar"/>
              </w:rPr>
              <w:t>20cm*20cm*20cm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护栏安装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3</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Ф63钢管护栏，含</w:t>
            </w:r>
            <w:r>
              <w:rPr>
                <w:rFonts w:hint="eastAsia" w:ascii="宋体" w:hAnsi="宋体" w:cs="宋体"/>
                <w:i w:val="0"/>
                <w:iCs w:val="0"/>
                <w:color w:val="000000"/>
                <w:kern w:val="0"/>
                <w:sz w:val="24"/>
                <w:szCs w:val="24"/>
                <w:u w:val="none"/>
                <w:lang w:val="en-US" w:eastAsia="zh-CN" w:bidi="ar"/>
              </w:rPr>
              <w:t>新增</w:t>
            </w:r>
            <w:r>
              <w:rPr>
                <w:rFonts w:hint="eastAsia" w:ascii="宋体" w:hAnsi="宋体" w:eastAsia="宋体" w:cs="宋体"/>
                <w:i w:val="0"/>
                <w:iCs w:val="0"/>
                <w:color w:val="000000"/>
                <w:kern w:val="0"/>
                <w:sz w:val="24"/>
                <w:szCs w:val="24"/>
                <w:u w:val="none"/>
                <w:lang w:val="en-US" w:eastAsia="zh-CN" w:bidi="ar"/>
              </w:rPr>
              <w:t>2m钢管横档、1m扁铁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消防井盖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拆除原井盖及井圈，原井盖送至我厂区8号库，</w:t>
            </w:r>
            <w:r>
              <w:rPr>
                <w:rFonts w:hint="eastAsia" w:ascii="宋体" w:hAnsi="宋体" w:eastAsia="宋体" w:cs="宋体"/>
                <w:i w:val="0"/>
                <w:iCs w:val="0"/>
                <w:color w:val="000000"/>
                <w:kern w:val="0"/>
                <w:sz w:val="24"/>
                <w:szCs w:val="24"/>
                <w:u w:val="none"/>
                <w:lang w:val="en-US" w:eastAsia="zh-CN" w:bidi="ar"/>
              </w:rPr>
              <w:t>更换为承重井盖，</w:t>
            </w:r>
            <w:r>
              <w:rPr>
                <w:rFonts w:hint="eastAsia" w:ascii="宋体" w:hAnsi="宋体" w:cs="宋体"/>
                <w:i w:val="0"/>
                <w:iCs w:val="0"/>
                <w:color w:val="000000"/>
                <w:kern w:val="0"/>
                <w:sz w:val="24"/>
                <w:szCs w:val="24"/>
                <w:u w:val="none"/>
                <w:lang w:val="en-US" w:eastAsia="zh-CN" w:bidi="ar"/>
              </w:rPr>
              <w:t>表面刷防锈漆及黑色面漆，</w:t>
            </w:r>
            <w:r>
              <w:rPr>
                <w:rFonts w:hint="eastAsia" w:ascii="宋体" w:hAnsi="宋体" w:eastAsia="宋体" w:cs="宋体"/>
                <w:i w:val="0"/>
                <w:iCs w:val="0"/>
                <w:color w:val="000000"/>
                <w:kern w:val="0"/>
                <w:sz w:val="24"/>
                <w:szCs w:val="24"/>
                <w:u w:val="none"/>
                <w:lang w:val="en-US" w:eastAsia="zh-CN" w:bidi="ar"/>
              </w:rPr>
              <w:t>尺寸1m*1m（含10cm混凝土井圈）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路缘石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路牙下铺设50mm厚1：2.5水泥砂浆垫层，背面做45°1:2.5水泥砂浆抗肩，抗肩宽度50mm，高度120mm，路缘石尺寸750*300*120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垃圾及多余土方合计约1.5m³，包含外置处理费用</w:t>
            </w:r>
          </w:p>
        </w:tc>
      </w:tr>
    </w:tbl>
    <w:p>
      <w:pPr>
        <w:spacing w:line="560" w:lineRule="exact"/>
        <w:jc w:val="left"/>
        <w:rPr>
          <w:rFonts w:cs="宋体"/>
          <w:bCs/>
          <w:sz w:val="24"/>
          <w:szCs w:val="24"/>
        </w:rPr>
      </w:pPr>
      <w:r>
        <w:rPr>
          <w:rFonts w:hint="eastAsia" w:cs="宋体"/>
          <w:bCs/>
          <w:sz w:val="24"/>
          <w:szCs w:val="24"/>
        </w:rPr>
        <w:t>注：上述预算价格包含人工费、材料费、机械费、措施费、成品保护费用、管理费、利润、税金等所有费用。</w:t>
      </w:r>
    </w:p>
    <w:p>
      <w:pPr>
        <w:spacing w:line="560" w:lineRule="exact"/>
        <w:jc w:val="left"/>
        <w:rPr>
          <w:rFonts w:cs="Times New Roman"/>
          <w:b/>
          <w:bCs/>
          <w:sz w:val="28"/>
          <w:szCs w:val="28"/>
        </w:rPr>
      </w:pPr>
      <w:r>
        <w:rPr>
          <w:rFonts w:hint="eastAsia" w:cs="宋体"/>
          <w:b/>
          <w:bCs/>
          <w:sz w:val="28"/>
          <w:szCs w:val="28"/>
        </w:rPr>
        <w:t>三、质量技术要求</w:t>
      </w:r>
    </w:p>
    <w:p>
      <w:pPr>
        <w:spacing w:line="360" w:lineRule="auto"/>
        <w:rPr>
          <w:rFonts w:hint="eastAsia" w:cs="宋体"/>
          <w:bCs/>
          <w:sz w:val="24"/>
          <w:szCs w:val="24"/>
        </w:rPr>
      </w:pPr>
      <w:r>
        <w:rPr>
          <w:rFonts w:hint="eastAsia" w:cs="宋体"/>
          <w:bCs/>
          <w:sz w:val="24"/>
          <w:szCs w:val="24"/>
        </w:rPr>
        <w:t>1、</w:t>
      </w:r>
      <w:r>
        <w:rPr>
          <w:rFonts w:hint="eastAsia" w:cs="宋体"/>
          <w:bCs/>
          <w:sz w:val="24"/>
          <w:szCs w:val="24"/>
          <w:lang w:val="en-US" w:eastAsia="zh-CN"/>
        </w:rPr>
        <w:t>设备基础</w:t>
      </w:r>
      <w:r>
        <w:rPr>
          <w:rFonts w:hint="eastAsia" w:cs="宋体"/>
          <w:bCs/>
          <w:sz w:val="24"/>
          <w:szCs w:val="24"/>
        </w:rPr>
        <w:t>技术要求：</w:t>
      </w:r>
    </w:p>
    <w:p>
      <w:pPr>
        <w:spacing w:line="360" w:lineRule="auto"/>
        <w:ind w:firstLine="480" w:firstLineChars="200"/>
        <w:rPr>
          <w:rFonts w:hint="default" w:eastAsia="宋体" w:cs="宋体"/>
          <w:bCs/>
          <w:sz w:val="24"/>
          <w:szCs w:val="24"/>
          <w:lang w:val="en-US" w:eastAsia="zh-CN"/>
        </w:rPr>
      </w:pPr>
      <w:r>
        <w:rPr>
          <w:rFonts w:hint="eastAsia" w:cs="宋体"/>
          <w:bCs/>
          <w:sz w:val="24"/>
          <w:szCs w:val="24"/>
          <w:lang w:val="en-US" w:eastAsia="zh-CN"/>
        </w:rPr>
        <w:t>草皮清除至原土层，达到设计标高，素土夯实，铺设15cm碎石垫层，浇筑C30砼20cm厚，振捣密实、表面收光，与原基础表面标高一致，及时进行养护；</w:t>
      </w:r>
    </w:p>
    <w:p>
      <w:pPr>
        <w:pStyle w:val="12"/>
        <w:shd w:val="clear" w:color="auto" w:fill="FFFFFF"/>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Cs/>
        </w:rPr>
        <w:t>2、</w:t>
      </w:r>
      <w:r>
        <w:rPr>
          <w:rFonts w:hint="eastAsia" w:asciiTheme="minorEastAsia" w:hAnsiTheme="minorEastAsia" w:eastAsiaTheme="minorEastAsia"/>
          <w:bCs/>
          <w:lang w:val="en-US" w:eastAsia="zh-CN"/>
        </w:rPr>
        <w:t>道路硬化</w:t>
      </w:r>
      <w:r>
        <w:rPr>
          <w:rFonts w:hint="eastAsia" w:asciiTheme="minorEastAsia" w:hAnsiTheme="minorEastAsia" w:eastAsiaTheme="minorEastAsia"/>
          <w:bCs/>
        </w:rPr>
        <w:t>技术要求：</w:t>
      </w:r>
    </w:p>
    <w:p>
      <w:pPr>
        <w:pStyle w:val="12"/>
        <w:shd w:val="clear" w:color="auto" w:fill="FFFFFF"/>
        <w:spacing w:before="0" w:beforeAutospacing="0" w:after="0" w:afterAutospacing="0" w:line="360" w:lineRule="auto"/>
        <w:ind w:firstLine="480" w:firstLineChars="200"/>
        <w:rPr>
          <w:rFonts w:hint="default" w:ascii="宋体" w:hAnsi="宋体" w:eastAsia="宋体" w:cs="宋体"/>
          <w:kern w:val="0"/>
          <w:sz w:val="24"/>
          <w:szCs w:val="24"/>
          <w:lang w:val="en-US" w:eastAsia="zh-CN"/>
        </w:rPr>
      </w:pPr>
      <w:r>
        <w:rPr>
          <w:rFonts w:hint="eastAsia" w:cs="宋体"/>
          <w:kern w:val="0"/>
          <w:sz w:val="24"/>
          <w:szCs w:val="24"/>
          <w:lang w:val="en-US" w:eastAsia="zh-CN"/>
        </w:rPr>
        <w:t>道路顶标高以危废库南侧门口坡道1.1米位置处标高为准，清理草皮，铺设10cm碎石垫层，浇筑10cm厚C30砼，振捣密实、表面收光，及时进行养护，北侧道路西半段往西做0.5%泛水，东半段往东侧做0.5%泛水；</w:t>
      </w:r>
    </w:p>
    <w:p>
      <w:pPr>
        <w:pStyle w:val="12"/>
        <w:numPr>
          <w:ilvl w:val="0"/>
          <w:numId w:val="3"/>
        </w:numPr>
        <w:shd w:val="clear" w:color="auto" w:fill="FFFFFF"/>
        <w:spacing w:before="0" w:beforeAutospacing="0" w:after="0" w:afterAutospacing="0" w:line="360" w:lineRule="auto"/>
        <w:rPr>
          <w:rFonts w:hint="eastAsia" w:cs="宋体"/>
          <w:kern w:val="0"/>
          <w:sz w:val="24"/>
          <w:szCs w:val="24"/>
          <w:lang w:val="en-US" w:eastAsia="zh-CN"/>
        </w:rPr>
      </w:pPr>
      <w:r>
        <w:rPr>
          <w:rFonts w:hint="eastAsia" w:cs="宋体"/>
          <w:kern w:val="0"/>
          <w:sz w:val="24"/>
          <w:szCs w:val="24"/>
          <w:lang w:val="en-US" w:eastAsia="zh-CN"/>
        </w:rPr>
        <w:t>路缘石技术要求：</w:t>
      </w:r>
    </w:p>
    <w:p>
      <w:pPr>
        <w:pStyle w:val="12"/>
        <w:numPr>
          <w:ilvl w:val="0"/>
          <w:numId w:val="0"/>
        </w:numPr>
        <w:shd w:val="clear" w:color="auto" w:fill="FFFFFF"/>
        <w:spacing w:before="0" w:beforeAutospacing="0" w:after="0" w:afterAutospacing="0" w:line="360" w:lineRule="auto"/>
        <w:ind w:firstLine="480" w:firstLineChars="200"/>
        <w:rPr>
          <w:rFonts w:hint="eastAsia" w:cs="宋体"/>
          <w:kern w:val="0"/>
          <w:sz w:val="24"/>
          <w:szCs w:val="24"/>
          <w:lang w:val="en-US" w:eastAsia="zh-CN"/>
        </w:rPr>
      </w:pPr>
      <w:r>
        <w:rPr>
          <w:rFonts w:hint="eastAsia" w:cs="宋体"/>
          <w:kern w:val="0"/>
          <w:sz w:val="24"/>
          <w:szCs w:val="24"/>
          <w:lang w:val="en-US" w:eastAsia="zh-CN"/>
        </w:rPr>
        <w:t>路牙下铺设50mm厚1：2.5水泥砂浆垫层，背面做45°1:2.5水泥砂浆抗肩，抗肩宽度50mm，高度120mm，路缘石尺寸750*300*120；</w:t>
      </w:r>
    </w:p>
    <w:p>
      <w:pPr>
        <w:pStyle w:val="12"/>
        <w:numPr>
          <w:ilvl w:val="0"/>
          <w:numId w:val="3"/>
        </w:numPr>
        <w:shd w:val="clear" w:color="auto" w:fill="FFFFFF"/>
        <w:spacing w:before="0" w:beforeAutospacing="0" w:after="0" w:afterAutospacing="0" w:line="360" w:lineRule="auto"/>
        <w:ind w:left="0" w:leftChars="0" w:firstLine="0" w:firstLineChars="0"/>
        <w:rPr>
          <w:rFonts w:hint="eastAsia" w:cs="宋体"/>
          <w:kern w:val="0"/>
          <w:sz w:val="24"/>
          <w:szCs w:val="24"/>
          <w:lang w:val="en-US" w:eastAsia="zh-CN"/>
        </w:rPr>
      </w:pPr>
      <w:r>
        <w:rPr>
          <w:rFonts w:hint="eastAsia" w:cs="宋体"/>
          <w:kern w:val="0"/>
          <w:sz w:val="24"/>
          <w:szCs w:val="24"/>
          <w:lang w:val="en-US" w:eastAsia="zh-CN"/>
        </w:rPr>
        <w:t>护栏安装技术要求：</w:t>
      </w:r>
    </w:p>
    <w:p>
      <w:pPr>
        <w:pStyle w:val="12"/>
        <w:numPr>
          <w:ilvl w:val="0"/>
          <w:numId w:val="0"/>
        </w:numPr>
        <w:shd w:val="clear" w:color="auto" w:fill="FFFFFF"/>
        <w:spacing w:before="0" w:beforeAutospacing="0" w:after="0" w:afterAutospacing="0" w:line="360" w:lineRule="auto"/>
        <w:ind w:leftChars="0" w:firstLine="480" w:firstLineChars="200"/>
        <w:rPr>
          <w:rFonts w:hint="eastAsia" w:cs="宋体"/>
          <w:kern w:val="0"/>
          <w:sz w:val="24"/>
          <w:szCs w:val="24"/>
          <w:lang w:val="en-US" w:eastAsia="zh-CN"/>
        </w:rPr>
      </w:pPr>
      <w:r>
        <w:rPr>
          <w:rFonts w:hint="eastAsia" w:cs="宋体"/>
          <w:kern w:val="0"/>
          <w:sz w:val="24"/>
          <w:szCs w:val="24"/>
          <w:lang w:val="en-US" w:eastAsia="zh-CN"/>
        </w:rPr>
        <w:t>护栏立柱下方浇筑20cm*20cm*20cm混凝土基础，将</w:t>
      </w:r>
      <w:r>
        <w:rPr>
          <w:rFonts w:hint="eastAsia" w:ascii="宋体" w:hAnsi="宋体" w:eastAsia="宋体" w:cs="宋体"/>
          <w:kern w:val="0"/>
          <w:sz w:val="24"/>
          <w:szCs w:val="24"/>
          <w:lang w:val="en-US" w:eastAsia="zh-CN"/>
        </w:rPr>
        <w:t>Ф</w:t>
      </w:r>
      <w:r>
        <w:rPr>
          <w:rFonts w:hint="eastAsia" w:cs="宋体"/>
          <w:kern w:val="0"/>
          <w:sz w:val="24"/>
          <w:szCs w:val="24"/>
          <w:lang w:val="en-US" w:eastAsia="zh-CN"/>
        </w:rPr>
        <w:t>63立柱埋进基础深10cm，新增立柱及横管、扁铁刷与原护栏一色油漆；</w:t>
      </w:r>
    </w:p>
    <w:p>
      <w:pPr>
        <w:pStyle w:val="12"/>
        <w:numPr>
          <w:ilvl w:val="0"/>
          <w:numId w:val="3"/>
        </w:numPr>
        <w:shd w:val="clear" w:color="auto" w:fill="FFFFFF"/>
        <w:spacing w:before="0" w:beforeAutospacing="0" w:after="0" w:afterAutospacing="0" w:line="360" w:lineRule="auto"/>
        <w:ind w:left="0" w:leftChars="0" w:firstLine="0" w:firstLineChars="0"/>
        <w:rPr>
          <w:rFonts w:hint="eastAsia" w:cs="宋体"/>
          <w:kern w:val="0"/>
          <w:sz w:val="24"/>
          <w:szCs w:val="24"/>
          <w:lang w:val="en-US" w:eastAsia="zh-CN"/>
        </w:rPr>
      </w:pPr>
      <w:r>
        <w:rPr>
          <w:rFonts w:hint="eastAsia" w:cs="宋体"/>
          <w:kern w:val="0"/>
          <w:sz w:val="24"/>
          <w:szCs w:val="24"/>
          <w:lang w:val="en-US" w:eastAsia="zh-CN"/>
        </w:rPr>
        <w:t>消防井盖技术要求：</w:t>
      </w:r>
    </w:p>
    <w:p>
      <w:pPr>
        <w:pStyle w:val="12"/>
        <w:numPr>
          <w:ilvl w:val="0"/>
          <w:numId w:val="0"/>
        </w:numPr>
        <w:shd w:val="clear" w:color="auto" w:fill="FFFFFF"/>
        <w:spacing w:before="0" w:beforeAutospacing="0" w:after="0" w:afterAutospacing="0" w:line="360" w:lineRule="auto"/>
        <w:ind w:leftChars="0" w:firstLine="480" w:firstLineChars="200"/>
        <w:rPr>
          <w:rFonts w:hint="eastAsia" w:cs="宋体"/>
          <w:kern w:val="0"/>
          <w:sz w:val="24"/>
          <w:szCs w:val="24"/>
          <w:lang w:val="en-US" w:eastAsia="zh-CN"/>
        </w:rPr>
      </w:pPr>
      <w:r>
        <w:rPr>
          <w:rFonts w:hint="eastAsia" w:cs="宋体"/>
          <w:kern w:val="0"/>
          <w:sz w:val="24"/>
          <w:szCs w:val="24"/>
          <w:lang w:val="en-US" w:eastAsia="zh-CN"/>
        </w:rPr>
        <w:t>原消防井需根据道路标高做相应提高，井盖更换成承重型铸铁井盖，井圈做10cm高混凝土井圈；</w:t>
      </w:r>
    </w:p>
    <w:p>
      <w:pPr>
        <w:pStyle w:val="12"/>
        <w:numPr>
          <w:ilvl w:val="0"/>
          <w:numId w:val="0"/>
        </w:numPr>
        <w:shd w:val="clear" w:color="auto" w:fill="FFFFFF"/>
        <w:spacing w:before="0" w:beforeAutospacing="0" w:after="0" w:afterAutospacing="0" w:line="360" w:lineRule="auto"/>
        <w:rPr>
          <w:rFonts w:hint="default" w:cs="宋体"/>
          <w:kern w:val="0"/>
          <w:sz w:val="24"/>
          <w:szCs w:val="24"/>
          <w:lang w:val="en-US" w:eastAsia="zh-CN"/>
        </w:rPr>
      </w:pPr>
      <w:r>
        <w:rPr>
          <w:rFonts w:hint="eastAsia" w:cs="宋体"/>
          <w:kern w:val="0"/>
          <w:sz w:val="24"/>
          <w:szCs w:val="24"/>
          <w:lang w:val="en-US" w:eastAsia="zh-CN"/>
        </w:rPr>
        <w:t>6、质量要求：基础混凝土及道路混凝土强度达到设计要求、无蜂窝麻面、表面收光平整，路缘石安装牢靠、顺直，护栏安装应牢固；</w:t>
      </w:r>
    </w:p>
    <w:p>
      <w:pPr>
        <w:spacing w:line="560" w:lineRule="exac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7</w:t>
      </w:r>
      <w:r>
        <w:rPr>
          <w:rFonts w:hint="eastAsia" w:cs="宋体" w:asciiTheme="minorEastAsia" w:hAnsiTheme="minorEastAsia" w:eastAsiaTheme="minorEastAsia"/>
          <w:bCs/>
          <w:sz w:val="24"/>
          <w:szCs w:val="24"/>
        </w:rPr>
        <w:t>、施工期间做好现场的成品保护，严禁高处坠落物件，及时清理施工建筑垃圾，服从我公司管理制度。</w:t>
      </w:r>
    </w:p>
    <w:p>
      <w:pPr>
        <w:spacing w:line="560" w:lineRule="exact"/>
        <w:rPr>
          <w:rFonts w:cs="宋体"/>
          <w:b/>
          <w:bCs/>
          <w:sz w:val="28"/>
          <w:szCs w:val="28"/>
        </w:rPr>
      </w:pPr>
      <w:r>
        <w:rPr>
          <w:rFonts w:hint="eastAsia" w:cs="宋体"/>
          <w:b/>
          <w:bCs/>
          <w:sz w:val="28"/>
          <w:szCs w:val="28"/>
        </w:rPr>
        <w:t>四、现场踏勘：</w:t>
      </w:r>
    </w:p>
    <w:p>
      <w:pPr>
        <w:spacing w:line="560" w:lineRule="exact"/>
        <w:rPr>
          <w:rFonts w:cs="宋体"/>
          <w:sz w:val="24"/>
          <w:szCs w:val="24"/>
        </w:rPr>
      </w:pPr>
      <w:r>
        <w:rPr>
          <w:rFonts w:hint="eastAsia" w:cs="宋体"/>
          <w:sz w:val="24"/>
          <w:szCs w:val="24"/>
        </w:rPr>
        <w:t>1. 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pPr>
        <w:adjustRightInd w:val="0"/>
        <w:snapToGrid w:val="0"/>
        <w:spacing w:line="440" w:lineRule="exact"/>
        <w:rPr>
          <w:rFonts w:cs="宋体"/>
          <w:b/>
          <w:bCs/>
          <w:sz w:val="28"/>
          <w:szCs w:val="28"/>
        </w:rPr>
      </w:pPr>
      <w:r>
        <w:rPr>
          <w:rFonts w:hint="eastAsia" w:cs="宋体"/>
          <w:b/>
          <w:bCs/>
          <w:sz w:val="28"/>
          <w:szCs w:val="28"/>
        </w:rPr>
        <w:t>五、工程结算方式：</w:t>
      </w:r>
    </w:p>
    <w:p>
      <w:pPr>
        <w:adjustRightInd w:val="0"/>
        <w:snapToGrid w:val="0"/>
        <w:spacing w:line="440" w:lineRule="exact"/>
        <w:rPr>
          <w:sz w:val="24"/>
        </w:rPr>
      </w:pPr>
      <w:r>
        <w:rPr>
          <w:rFonts w:hint="eastAsia"/>
          <w:sz w:val="24"/>
        </w:rPr>
        <w:t>1. 付款方式：工程施工</w:t>
      </w:r>
      <w:r>
        <w:rPr>
          <w:sz w:val="24"/>
        </w:rPr>
        <w:t>完</w:t>
      </w:r>
      <w:r>
        <w:rPr>
          <w:rFonts w:hint="eastAsia"/>
          <w:sz w:val="24"/>
        </w:rPr>
        <w:t>成</w:t>
      </w:r>
      <w:r>
        <w:rPr>
          <w:sz w:val="24"/>
        </w:rPr>
        <w:t>并经验收合格后、收到全额</w:t>
      </w:r>
      <w:r>
        <w:rPr>
          <w:rFonts w:hint="eastAsia"/>
          <w:sz w:val="24"/>
        </w:rPr>
        <w:t>9%增值税专用</w:t>
      </w:r>
      <w:r>
        <w:rPr>
          <w:sz w:val="24"/>
        </w:rPr>
        <w:t>发票后支付合同价款</w:t>
      </w:r>
      <w:r>
        <w:rPr>
          <w:rFonts w:hint="eastAsia"/>
          <w:sz w:val="24"/>
        </w:rPr>
        <w:t>9</w:t>
      </w:r>
      <w:r>
        <w:rPr>
          <w:sz w:val="24"/>
        </w:rPr>
        <w:t>0%，其余10%作为质保金，12个月后无质量问题10日内付清。</w:t>
      </w:r>
    </w:p>
    <w:p>
      <w:pPr>
        <w:adjustRightInd w:val="0"/>
        <w:snapToGrid w:val="0"/>
        <w:spacing w:line="440" w:lineRule="exact"/>
        <w:rPr>
          <w:sz w:val="24"/>
        </w:rPr>
      </w:pPr>
      <w:r>
        <w:rPr>
          <w:rFonts w:hint="eastAsia"/>
          <w:sz w:val="24"/>
        </w:rPr>
        <w:t>2. 发票：支付第一笔工程款时</w:t>
      </w:r>
      <w:r>
        <w:rPr>
          <w:sz w:val="24"/>
        </w:rPr>
        <w:t>，开具</w:t>
      </w:r>
      <w:r>
        <w:rPr>
          <w:rFonts w:hint="eastAsia"/>
          <w:sz w:val="24"/>
        </w:rPr>
        <w:t>全部合同金额的9%增值税专用</w:t>
      </w:r>
      <w:r>
        <w:rPr>
          <w:sz w:val="24"/>
        </w:rPr>
        <w:t>发票</w:t>
      </w:r>
      <w:r>
        <w:rPr>
          <w:rFonts w:hint="eastAsia"/>
          <w:sz w:val="24"/>
        </w:rPr>
        <w:t>。</w:t>
      </w:r>
    </w:p>
    <w:p>
      <w:pPr>
        <w:adjustRightInd w:val="0"/>
        <w:snapToGrid w:val="0"/>
        <w:spacing w:line="440" w:lineRule="exact"/>
        <w:rPr>
          <w:sz w:val="24"/>
        </w:rPr>
      </w:pPr>
      <w:r>
        <w:rPr>
          <w:rFonts w:hint="eastAsia"/>
          <w:sz w:val="24"/>
        </w:rPr>
        <w:t>3．以上款项以现金方式支付</w:t>
      </w:r>
    </w:p>
    <w:p>
      <w:pPr>
        <w:spacing w:line="560" w:lineRule="exact"/>
        <w:jc w:val="left"/>
        <w:rPr>
          <w:rFonts w:cs="宋体"/>
          <w:b/>
          <w:bCs/>
          <w:sz w:val="28"/>
          <w:szCs w:val="28"/>
        </w:rPr>
      </w:pPr>
      <w:r>
        <w:rPr>
          <w:rFonts w:hint="eastAsia" w:cs="宋体"/>
          <w:b/>
          <w:bCs/>
          <w:sz w:val="28"/>
          <w:szCs w:val="28"/>
        </w:rPr>
        <w:t>六、质保期：</w:t>
      </w:r>
      <w:r>
        <w:rPr>
          <w:rFonts w:hint="eastAsia" w:cs="宋体" w:asciiTheme="minorEastAsia" w:hAnsiTheme="minorEastAsia" w:eastAsiaTheme="minorEastAsia"/>
          <w:bCs/>
          <w:sz w:val="24"/>
          <w:szCs w:val="24"/>
        </w:rPr>
        <w:t>12个月，自工程竣工验收之日起算。</w:t>
      </w:r>
    </w:p>
    <w:p>
      <w:pPr>
        <w:adjustRightInd w:val="0"/>
        <w:snapToGrid w:val="0"/>
        <w:spacing w:line="400" w:lineRule="exact"/>
        <w:rPr>
          <w:rFonts w:cs="宋体"/>
          <w:sz w:val="24"/>
          <w:szCs w:val="24"/>
        </w:rPr>
      </w:pPr>
      <w:r>
        <w:rPr>
          <w:rFonts w:hint="eastAsia" w:cs="宋体"/>
          <w:b/>
          <w:bCs/>
          <w:sz w:val="28"/>
          <w:szCs w:val="28"/>
        </w:rPr>
        <w:t>七、工期：</w:t>
      </w:r>
      <w:r>
        <w:rPr>
          <w:rFonts w:hint="eastAsia" w:cs="宋体"/>
          <w:b/>
          <w:bCs/>
          <w:sz w:val="28"/>
          <w:szCs w:val="28"/>
          <w:lang w:val="en-US" w:eastAsia="zh-CN"/>
        </w:rPr>
        <w:t>10</w:t>
      </w:r>
      <w:r>
        <w:rPr>
          <w:rFonts w:hint="eastAsia"/>
          <w:sz w:val="24"/>
          <w:szCs w:val="24"/>
        </w:rPr>
        <w:t>个自然</w:t>
      </w:r>
      <w:r>
        <w:rPr>
          <w:rFonts w:hint="eastAsia" w:cs="宋体"/>
          <w:sz w:val="24"/>
          <w:szCs w:val="24"/>
        </w:rPr>
        <w:t>天，自通知施工单位进场日期起计算。</w:t>
      </w:r>
    </w:p>
    <w:p>
      <w:pPr>
        <w:pStyle w:val="2"/>
        <w:adjustRightInd w:val="0"/>
        <w:snapToGrid w:val="0"/>
        <w:spacing w:line="380" w:lineRule="exact"/>
        <w:ind w:right="594" w:rightChars="283" w:firstLine="0" w:firstLineChars="0"/>
        <w:rPr>
          <w:b/>
          <w:sz w:val="28"/>
          <w:szCs w:val="28"/>
        </w:rPr>
      </w:pPr>
      <w:r>
        <w:rPr>
          <w:rFonts w:hint="eastAsia" w:cs="宋体"/>
          <w:b/>
          <w:bCs/>
          <w:sz w:val="28"/>
          <w:szCs w:val="28"/>
        </w:rPr>
        <w:t>八、</w:t>
      </w:r>
      <w:r>
        <w:rPr>
          <w:rFonts w:hint="eastAsia"/>
          <w:b/>
          <w:sz w:val="28"/>
          <w:szCs w:val="28"/>
        </w:rPr>
        <w:t>招标形式：</w:t>
      </w:r>
    </w:p>
    <w:p>
      <w:pPr>
        <w:numPr>
          <w:ilvl w:val="0"/>
          <w:numId w:val="4"/>
        </w:numPr>
        <w:spacing w:line="380" w:lineRule="exact"/>
        <w:ind w:right="311" w:rightChars="148" w:firstLine="6"/>
        <w:rPr>
          <w:rFonts w:cs="宋体"/>
          <w:sz w:val="24"/>
        </w:rPr>
      </w:pPr>
      <w:r>
        <w:rPr>
          <w:rFonts w:hint="eastAsia" w:cs="宋体"/>
          <w:b/>
          <w:sz w:val="24"/>
        </w:rPr>
        <w:t>文件邮寄</w:t>
      </w:r>
      <w:r>
        <w:rPr>
          <w:rFonts w:hint="eastAsia" w:cs="宋体"/>
          <w:sz w:val="24"/>
        </w:rPr>
        <w:t>；投标单位将资质技术文件和商务投标文件分别封闭，采用邮寄方式，投标文件截止时间到2022年</w:t>
      </w:r>
      <w:r>
        <w:rPr>
          <w:rFonts w:hint="eastAsia" w:cs="宋体"/>
          <w:sz w:val="24"/>
          <w:lang w:val="en-US" w:eastAsia="zh-CN"/>
        </w:rPr>
        <w:t>10</w:t>
      </w:r>
      <w:r>
        <w:rPr>
          <w:rFonts w:hint="eastAsia" w:cs="宋体"/>
          <w:sz w:val="24"/>
        </w:rPr>
        <w:t>月</w:t>
      </w:r>
      <w:r>
        <w:rPr>
          <w:rFonts w:hint="eastAsia" w:cs="宋体"/>
          <w:sz w:val="24"/>
          <w:lang w:val="en-US" w:eastAsia="zh-CN"/>
        </w:rPr>
        <w:t>18</w:t>
      </w:r>
      <w:r>
        <w:rPr>
          <w:rFonts w:hint="eastAsia" w:cs="宋体"/>
          <w:sz w:val="24"/>
        </w:rPr>
        <w:t>号为止。</w:t>
      </w:r>
    </w:p>
    <w:p>
      <w:pPr>
        <w:numPr>
          <w:ilvl w:val="0"/>
          <w:numId w:val="4"/>
        </w:numPr>
        <w:spacing w:line="380" w:lineRule="exact"/>
        <w:ind w:right="311" w:rightChars="148" w:firstLine="6"/>
        <w:rPr>
          <w:rFonts w:cs="宋体"/>
          <w:sz w:val="24"/>
        </w:rPr>
      </w:pPr>
      <w:r>
        <w:rPr>
          <w:rFonts w:hint="eastAsia" w:cs="宋体"/>
          <w:b/>
          <w:sz w:val="24"/>
        </w:rPr>
        <w:t>邮寄地址</w:t>
      </w:r>
      <w:r>
        <w:rPr>
          <w:rFonts w:hint="eastAsia" w:cs="宋体"/>
          <w:sz w:val="24"/>
        </w:rPr>
        <w:t>；淮安市清浦工业园朝阳西路168号，江苏天士力帝益药业有限公司，工程部</w:t>
      </w:r>
      <w:r>
        <w:rPr>
          <w:rFonts w:hint="eastAsia" w:cs="宋体"/>
          <w:sz w:val="24"/>
          <w:lang w:val="en-US" w:eastAsia="zh-CN"/>
        </w:rPr>
        <w:t>牛延亮</w:t>
      </w:r>
      <w:r>
        <w:rPr>
          <w:rFonts w:hint="eastAsia" w:cs="宋体"/>
          <w:sz w:val="24"/>
        </w:rPr>
        <w:t>收。电话；</w:t>
      </w:r>
      <w:r>
        <w:rPr>
          <w:rFonts w:hint="eastAsia" w:cs="宋体"/>
          <w:sz w:val="24"/>
          <w:lang w:val="en-US" w:eastAsia="zh-CN"/>
        </w:rPr>
        <w:t>17351899866</w:t>
      </w:r>
    </w:p>
    <w:p>
      <w:pPr>
        <w:numPr>
          <w:ilvl w:val="0"/>
          <w:numId w:val="4"/>
        </w:numPr>
        <w:spacing w:line="380" w:lineRule="exact"/>
        <w:ind w:right="311" w:rightChars="148" w:firstLine="6"/>
        <w:rPr>
          <w:rFonts w:cs="宋体"/>
          <w:sz w:val="24"/>
        </w:rPr>
      </w:pPr>
      <w:r>
        <w:rPr>
          <w:rFonts w:hint="eastAsia" w:cs="宋体"/>
          <w:b/>
          <w:sz w:val="24"/>
        </w:rPr>
        <w:t>开标时间</w:t>
      </w:r>
      <w:r>
        <w:rPr>
          <w:rFonts w:hint="eastAsia" w:cs="宋体"/>
          <w:sz w:val="24"/>
        </w:rPr>
        <w:t>；，开标时间暂定为2022年</w:t>
      </w:r>
      <w:r>
        <w:rPr>
          <w:rFonts w:hint="eastAsia" w:cs="宋体"/>
          <w:sz w:val="24"/>
          <w:lang w:val="en-US" w:eastAsia="zh-CN"/>
        </w:rPr>
        <w:t>10</w:t>
      </w:r>
      <w:r>
        <w:rPr>
          <w:rFonts w:hint="eastAsia" w:cs="宋体"/>
          <w:sz w:val="24"/>
        </w:rPr>
        <w:t>月</w:t>
      </w:r>
      <w:r>
        <w:rPr>
          <w:rFonts w:hint="eastAsia" w:cs="宋体"/>
          <w:sz w:val="24"/>
          <w:lang w:val="en-US" w:eastAsia="zh-CN"/>
        </w:rPr>
        <w:t>18</w:t>
      </w:r>
      <w:r>
        <w:rPr>
          <w:rFonts w:hint="eastAsia" w:cs="宋体"/>
          <w:sz w:val="24"/>
        </w:rPr>
        <w:t>日，最终时间另行通知。</w:t>
      </w:r>
    </w:p>
    <w:p>
      <w:pPr>
        <w:numPr>
          <w:ilvl w:val="0"/>
          <w:numId w:val="4"/>
        </w:numPr>
        <w:spacing w:line="380" w:lineRule="exact"/>
        <w:ind w:right="311" w:rightChars="148" w:firstLine="6"/>
        <w:rPr>
          <w:rFonts w:cs="宋体"/>
          <w:sz w:val="24"/>
        </w:rPr>
      </w:pPr>
      <w:r>
        <w:rPr>
          <w:rFonts w:hint="eastAsia" w:cs="宋体"/>
          <w:b/>
          <w:sz w:val="24"/>
        </w:rPr>
        <w:t>资质审核</w:t>
      </w:r>
      <w:r>
        <w:rPr>
          <w:rFonts w:hint="eastAsia" w:cs="宋体"/>
          <w:sz w:val="24"/>
        </w:rPr>
        <w:t>；投标单位资质经评委审核，投标资质符合要求后进入技术评比。</w:t>
      </w:r>
    </w:p>
    <w:p>
      <w:pPr>
        <w:numPr>
          <w:ilvl w:val="0"/>
          <w:numId w:val="4"/>
        </w:numPr>
        <w:spacing w:line="380" w:lineRule="exact"/>
        <w:ind w:right="311" w:rightChars="148" w:firstLine="6"/>
        <w:rPr>
          <w:rFonts w:cs="宋体"/>
          <w:sz w:val="24"/>
        </w:rPr>
      </w:pPr>
      <w:r>
        <w:rPr>
          <w:rFonts w:hint="eastAsia" w:cs="宋体"/>
          <w:b/>
          <w:sz w:val="24"/>
        </w:rPr>
        <w:t>技术评标</w:t>
      </w:r>
      <w:r>
        <w:rPr>
          <w:rFonts w:hint="eastAsia" w:cs="宋体"/>
          <w:sz w:val="24"/>
        </w:rPr>
        <w:t>；投标单位按招标技术要求件提供投标技术文件，投标技术文件中需含不带报价的工程量清单，明确付款方式、工期、施工标准是否满足技术文件要求，满足技术文件要求后进入商务评比。</w:t>
      </w:r>
    </w:p>
    <w:p>
      <w:pPr>
        <w:numPr>
          <w:ilvl w:val="0"/>
          <w:numId w:val="4"/>
        </w:numPr>
        <w:spacing w:line="380" w:lineRule="exact"/>
        <w:ind w:right="311" w:rightChars="148" w:firstLine="6"/>
        <w:rPr>
          <w:rFonts w:cs="宋体"/>
          <w:sz w:val="24"/>
        </w:rPr>
      </w:pPr>
      <w:r>
        <w:rPr>
          <w:rFonts w:hint="eastAsia" w:cs="宋体"/>
          <w:b/>
          <w:sz w:val="24"/>
        </w:rPr>
        <w:t>商务评比</w:t>
      </w:r>
      <w:r>
        <w:rPr>
          <w:rFonts w:hint="eastAsia" w:cs="宋体"/>
          <w:sz w:val="24"/>
        </w:rPr>
        <w:t>；</w:t>
      </w:r>
    </w:p>
    <w:p>
      <w:pPr>
        <w:spacing w:line="380" w:lineRule="exact"/>
        <w:ind w:left="420" w:right="311" w:rightChars="148"/>
        <w:rPr>
          <w:rFonts w:cs="宋体"/>
          <w:sz w:val="24"/>
        </w:rPr>
      </w:pPr>
      <w:r>
        <w:rPr>
          <w:rFonts w:hint="eastAsia" w:cs="宋体"/>
          <w:b/>
          <w:sz w:val="24"/>
        </w:rPr>
        <w:t>6.1、</w:t>
      </w:r>
      <w:r>
        <w:rPr>
          <w:rFonts w:hint="eastAsia" w:cs="宋体"/>
          <w:sz w:val="24"/>
        </w:rPr>
        <w:t>采用全费用单价报价。上述报价均应包含人工费、材料费、机械费、措施费（成品保护费等、管理费、税金）利润等一切费用。投标报价采用一次报价方式。</w:t>
      </w:r>
    </w:p>
    <w:p>
      <w:pPr>
        <w:spacing w:line="400" w:lineRule="exact"/>
        <w:ind w:firstLine="482" w:firstLineChars="200"/>
        <w:rPr>
          <w:rFonts w:ascii="宋体" w:hAnsi="宋体"/>
          <w:b/>
          <w:sz w:val="24"/>
        </w:rPr>
      </w:pPr>
      <w:r>
        <w:rPr>
          <w:rFonts w:hint="eastAsia" w:cs="宋体"/>
          <w:b/>
          <w:sz w:val="24"/>
        </w:rPr>
        <w:t>6.2、</w:t>
      </w:r>
      <w:r>
        <w:rPr>
          <w:rFonts w:hint="eastAsia" w:cs="宋体"/>
          <w:sz w:val="24"/>
        </w:rPr>
        <w:t>各单位各分项报价应符合市场，严重偏离的，将不再邀请参加我公司所有项目投标。如最低价单位个别单项报价偏离市场行情的，将进行二次洽谈。</w:t>
      </w:r>
    </w:p>
    <w:p>
      <w:pPr>
        <w:spacing w:line="400" w:lineRule="exact"/>
        <w:rPr>
          <w:rFonts w:ascii="宋体" w:hAnsi="宋体" w:cs="Times New Roman"/>
          <w:b/>
          <w:sz w:val="28"/>
          <w:szCs w:val="28"/>
        </w:rPr>
      </w:pPr>
      <w:r>
        <w:rPr>
          <w:rFonts w:hint="eastAsia" w:ascii="宋体" w:hAnsi="宋体"/>
          <w:b/>
          <w:sz w:val="24"/>
        </w:rPr>
        <w:t>九、</w:t>
      </w:r>
      <w:r>
        <w:rPr>
          <w:rFonts w:hint="eastAsia" w:ascii="宋体" w:hAnsi="宋体" w:cs="Times New Roman"/>
          <w:b/>
          <w:sz w:val="28"/>
          <w:szCs w:val="28"/>
        </w:rPr>
        <w:t>其他</w:t>
      </w:r>
    </w:p>
    <w:p>
      <w:pPr>
        <w:spacing w:line="400" w:lineRule="exact"/>
        <w:ind w:firstLine="470" w:firstLineChars="196"/>
        <w:rPr>
          <w:rFonts w:cs="宋体"/>
          <w:sz w:val="24"/>
        </w:rPr>
      </w:pPr>
      <w:r>
        <w:rPr>
          <w:rFonts w:hint="eastAsia" w:cs="宋体"/>
          <w:sz w:val="24"/>
        </w:rPr>
        <w:t>1、施工前与业主签订安全协议、接受安全、环保知识培训，遵守业主有关规章制度。</w:t>
      </w:r>
    </w:p>
    <w:p>
      <w:pPr>
        <w:spacing w:line="400" w:lineRule="exact"/>
        <w:ind w:firstLine="470" w:firstLineChars="196"/>
        <w:jc w:val="left"/>
        <w:rPr>
          <w:rFonts w:cs="宋体"/>
          <w:sz w:val="24"/>
        </w:rPr>
      </w:pPr>
      <w:r>
        <w:rPr>
          <w:rFonts w:hint="eastAsia" w:cs="宋体"/>
          <w:sz w:val="24"/>
        </w:rPr>
        <w:t>2、施工方现场备齐所有施工防护设备和措施，防止现场产尘对人员设备影响，对现场成品采取防护措施，确保成品不被破坏。</w:t>
      </w:r>
    </w:p>
    <w:p>
      <w:pPr>
        <w:spacing w:line="400" w:lineRule="exact"/>
        <w:ind w:firstLine="470" w:firstLineChars="196"/>
        <w:jc w:val="left"/>
        <w:rPr>
          <w:rFonts w:cs="宋体"/>
          <w:sz w:val="24"/>
        </w:rPr>
      </w:pPr>
      <w:r>
        <w:rPr>
          <w:rFonts w:hint="eastAsia" w:cs="宋体"/>
          <w:sz w:val="24"/>
        </w:rPr>
        <w:t>3、按阶段通知业主进行现场确认，确保工程质量。</w:t>
      </w:r>
    </w:p>
    <w:p>
      <w:pPr>
        <w:spacing w:line="400" w:lineRule="exact"/>
        <w:ind w:firstLine="470" w:firstLineChars="196"/>
        <w:jc w:val="left"/>
        <w:rPr>
          <w:rFonts w:cs="宋体"/>
          <w:sz w:val="24"/>
        </w:rPr>
      </w:pPr>
      <w:r>
        <w:rPr>
          <w:rFonts w:hint="eastAsia" w:cs="宋体"/>
          <w:sz w:val="24"/>
        </w:rPr>
        <w:t>4、现场需进行安全相关培训后，开具各种如登高证、临时用电证、动火证，进入受限空间等各种证件后方可进入现场。</w:t>
      </w:r>
    </w:p>
    <w:p>
      <w:pPr>
        <w:spacing w:line="400" w:lineRule="exact"/>
        <w:ind w:firstLine="470" w:firstLineChars="196"/>
        <w:jc w:val="left"/>
        <w:rPr>
          <w:rFonts w:cs="宋体"/>
          <w:sz w:val="24"/>
        </w:rPr>
      </w:pPr>
      <w:r>
        <w:rPr>
          <w:rFonts w:hint="eastAsia" w:cs="宋体"/>
          <w:sz w:val="24"/>
        </w:rPr>
        <w:t>5、接到标书后，3天内到现场进行勘察，如不到现场勘察，视同认可图纸、技术要求和工程量清单内所有内容。</w:t>
      </w:r>
    </w:p>
    <w:p>
      <w:pPr>
        <w:spacing w:line="560" w:lineRule="exact"/>
        <w:jc w:val="left"/>
        <w:rPr>
          <w:rFonts w:cs="宋体"/>
          <w:sz w:val="24"/>
        </w:rPr>
      </w:pPr>
    </w:p>
    <w:sectPr>
      <w:pgSz w:w="11906" w:h="16838"/>
      <w:pgMar w:top="1134" w:right="1021" w:bottom="1191"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E4EAD"/>
    <w:multiLevelType w:val="multilevel"/>
    <w:tmpl w:val="07AE4E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D966BA"/>
    <w:multiLevelType w:val="singleLevel"/>
    <w:tmpl w:val="61D966BA"/>
    <w:lvl w:ilvl="0" w:tentative="0">
      <w:start w:val="3"/>
      <w:numFmt w:val="decimal"/>
      <w:suff w:val="nothing"/>
      <w:lvlText w:val="%1、"/>
      <w:lvlJc w:val="left"/>
    </w:lvl>
  </w:abstractNum>
  <w:abstractNum w:abstractNumId="2">
    <w:nsid w:val="702F0791"/>
    <w:multiLevelType w:val="multilevel"/>
    <w:tmpl w:val="702F07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709795A"/>
    <w:multiLevelType w:val="multilevel"/>
    <w:tmpl w:val="7709795A"/>
    <w:lvl w:ilvl="0" w:tentative="0">
      <w:start w:val="1"/>
      <w:numFmt w:val="decimal"/>
      <w:lvlText w:val="%1）"/>
      <w:lvlJc w:val="left"/>
      <w:pPr>
        <w:ind w:left="683" w:hanging="360"/>
      </w:pPr>
      <w:rPr>
        <w:rFonts w:hint="default"/>
      </w:rPr>
    </w:lvl>
    <w:lvl w:ilvl="1" w:tentative="0">
      <w:start w:val="1"/>
      <w:numFmt w:val="lowerLetter"/>
      <w:lvlText w:val="%2)"/>
      <w:lvlJc w:val="left"/>
      <w:pPr>
        <w:ind w:left="1163" w:hanging="420"/>
      </w:pPr>
    </w:lvl>
    <w:lvl w:ilvl="2" w:tentative="0">
      <w:start w:val="1"/>
      <w:numFmt w:val="lowerRoman"/>
      <w:lvlText w:val="%3."/>
      <w:lvlJc w:val="right"/>
      <w:pPr>
        <w:ind w:left="1583" w:hanging="420"/>
      </w:pPr>
    </w:lvl>
    <w:lvl w:ilvl="3" w:tentative="0">
      <w:start w:val="1"/>
      <w:numFmt w:val="decimal"/>
      <w:lvlText w:val="%4."/>
      <w:lvlJc w:val="left"/>
      <w:pPr>
        <w:ind w:left="2003" w:hanging="420"/>
      </w:pPr>
    </w:lvl>
    <w:lvl w:ilvl="4" w:tentative="0">
      <w:start w:val="1"/>
      <w:numFmt w:val="lowerLetter"/>
      <w:lvlText w:val="%5)"/>
      <w:lvlJc w:val="left"/>
      <w:pPr>
        <w:ind w:left="2423" w:hanging="420"/>
      </w:pPr>
    </w:lvl>
    <w:lvl w:ilvl="5" w:tentative="0">
      <w:start w:val="1"/>
      <w:numFmt w:val="lowerRoman"/>
      <w:lvlText w:val="%6."/>
      <w:lvlJc w:val="right"/>
      <w:pPr>
        <w:ind w:left="2843" w:hanging="420"/>
      </w:pPr>
    </w:lvl>
    <w:lvl w:ilvl="6" w:tentative="0">
      <w:start w:val="1"/>
      <w:numFmt w:val="decimal"/>
      <w:lvlText w:val="%7."/>
      <w:lvlJc w:val="left"/>
      <w:pPr>
        <w:ind w:left="3263" w:hanging="420"/>
      </w:pPr>
    </w:lvl>
    <w:lvl w:ilvl="7" w:tentative="0">
      <w:start w:val="1"/>
      <w:numFmt w:val="lowerLetter"/>
      <w:lvlText w:val="%8)"/>
      <w:lvlJc w:val="left"/>
      <w:pPr>
        <w:ind w:left="3683" w:hanging="420"/>
      </w:pPr>
    </w:lvl>
    <w:lvl w:ilvl="8" w:tentative="0">
      <w:start w:val="1"/>
      <w:numFmt w:val="lowerRoman"/>
      <w:lvlText w:val="%9."/>
      <w:lvlJc w:val="right"/>
      <w:pPr>
        <w:ind w:left="4103"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MTYxNzMzNjlkMmVjN2M3ZjMxNWY2OGZmNDkwODAifQ=="/>
  </w:docVars>
  <w:rsids>
    <w:rsidRoot w:val="00124D85"/>
    <w:rsid w:val="000378BF"/>
    <w:rsid w:val="000633D6"/>
    <w:rsid w:val="00075168"/>
    <w:rsid w:val="000937E5"/>
    <w:rsid w:val="000B7372"/>
    <w:rsid w:val="000F52AD"/>
    <w:rsid w:val="000F6142"/>
    <w:rsid w:val="0010508C"/>
    <w:rsid w:val="00106148"/>
    <w:rsid w:val="00117A86"/>
    <w:rsid w:val="001200DB"/>
    <w:rsid w:val="00124D85"/>
    <w:rsid w:val="00156EF3"/>
    <w:rsid w:val="0016000B"/>
    <w:rsid w:val="00162F4A"/>
    <w:rsid w:val="00163361"/>
    <w:rsid w:val="001707DB"/>
    <w:rsid w:val="00181547"/>
    <w:rsid w:val="001A45C4"/>
    <w:rsid w:val="001A4C1E"/>
    <w:rsid w:val="001B22C5"/>
    <w:rsid w:val="001B3C8C"/>
    <w:rsid w:val="001C26BA"/>
    <w:rsid w:val="001C2723"/>
    <w:rsid w:val="001E0B28"/>
    <w:rsid w:val="001E20EA"/>
    <w:rsid w:val="001E45BA"/>
    <w:rsid w:val="001F0138"/>
    <w:rsid w:val="001F4D2E"/>
    <w:rsid w:val="00216DF6"/>
    <w:rsid w:val="00241AC3"/>
    <w:rsid w:val="00242289"/>
    <w:rsid w:val="00243331"/>
    <w:rsid w:val="00245A21"/>
    <w:rsid w:val="00245FEE"/>
    <w:rsid w:val="002546C4"/>
    <w:rsid w:val="002605F3"/>
    <w:rsid w:val="0028789C"/>
    <w:rsid w:val="00290A04"/>
    <w:rsid w:val="002A75A6"/>
    <w:rsid w:val="002B4969"/>
    <w:rsid w:val="002D0888"/>
    <w:rsid w:val="002D77AD"/>
    <w:rsid w:val="002F0DCB"/>
    <w:rsid w:val="003039FB"/>
    <w:rsid w:val="00307059"/>
    <w:rsid w:val="00314CB4"/>
    <w:rsid w:val="00340964"/>
    <w:rsid w:val="00361C25"/>
    <w:rsid w:val="00364A42"/>
    <w:rsid w:val="00375EB8"/>
    <w:rsid w:val="00381E81"/>
    <w:rsid w:val="00384F9C"/>
    <w:rsid w:val="003A09A8"/>
    <w:rsid w:val="003B0B48"/>
    <w:rsid w:val="003B5FC8"/>
    <w:rsid w:val="003D3A1A"/>
    <w:rsid w:val="003D79BC"/>
    <w:rsid w:val="003E43CC"/>
    <w:rsid w:val="00421A19"/>
    <w:rsid w:val="0042285C"/>
    <w:rsid w:val="004607B9"/>
    <w:rsid w:val="00460A6A"/>
    <w:rsid w:val="00470094"/>
    <w:rsid w:val="00472148"/>
    <w:rsid w:val="0049514C"/>
    <w:rsid w:val="004A2BC9"/>
    <w:rsid w:val="004A3169"/>
    <w:rsid w:val="004C6DA4"/>
    <w:rsid w:val="004E63F8"/>
    <w:rsid w:val="004E748F"/>
    <w:rsid w:val="00507F0F"/>
    <w:rsid w:val="00520914"/>
    <w:rsid w:val="005242D2"/>
    <w:rsid w:val="00526974"/>
    <w:rsid w:val="00526C6D"/>
    <w:rsid w:val="00545457"/>
    <w:rsid w:val="00556477"/>
    <w:rsid w:val="00570E59"/>
    <w:rsid w:val="005C4965"/>
    <w:rsid w:val="005D3068"/>
    <w:rsid w:val="005E0E55"/>
    <w:rsid w:val="005E4228"/>
    <w:rsid w:val="005E4C95"/>
    <w:rsid w:val="005E4F3C"/>
    <w:rsid w:val="005E6D01"/>
    <w:rsid w:val="006038B2"/>
    <w:rsid w:val="00630E04"/>
    <w:rsid w:val="00636A6F"/>
    <w:rsid w:val="00642D25"/>
    <w:rsid w:val="0068248E"/>
    <w:rsid w:val="0068581D"/>
    <w:rsid w:val="00686025"/>
    <w:rsid w:val="006962B3"/>
    <w:rsid w:val="006E6035"/>
    <w:rsid w:val="007034A8"/>
    <w:rsid w:val="007052FF"/>
    <w:rsid w:val="00723EC8"/>
    <w:rsid w:val="00726803"/>
    <w:rsid w:val="007270D2"/>
    <w:rsid w:val="0075316E"/>
    <w:rsid w:val="00753608"/>
    <w:rsid w:val="00755378"/>
    <w:rsid w:val="007A7CFF"/>
    <w:rsid w:val="007B1180"/>
    <w:rsid w:val="007C10E3"/>
    <w:rsid w:val="007C3D71"/>
    <w:rsid w:val="007E39FC"/>
    <w:rsid w:val="008124F9"/>
    <w:rsid w:val="00821C80"/>
    <w:rsid w:val="0082609F"/>
    <w:rsid w:val="00832FA3"/>
    <w:rsid w:val="00843AA0"/>
    <w:rsid w:val="008567CA"/>
    <w:rsid w:val="00860CB4"/>
    <w:rsid w:val="00864C54"/>
    <w:rsid w:val="00871DDB"/>
    <w:rsid w:val="00874B30"/>
    <w:rsid w:val="008817F6"/>
    <w:rsid w:val="008B2E2B"/>
    <w:rsid w:val="00913332"/>
    <w:rsid w:val="009711BE"/>
    <w:rsid w:val="00983105"/>
    <w:rsid w:val="009A2C04"/>
    <w:rsid w:val="009F2206"/>
    <w:rsid w:val="009F5B17"/>
    <w:rsid w:val="00A13DA7"/>
    <w:rsid w:val="00A345E1"/>
    <w:rsid w:val="00A544D3"/>
    <w:rsid w:val="00A62B20"/>
    <w:rsid w:val="00A7103B"/>
    <w:rsid w:val="00A93AED"/>
    <w:rsid w:val="00AA6400"/>
    <w:rsid w:val="00AC431E"/>
    <w:rsid w:val="00AD24EE"/>
    <w:rsid w:val="00AE01CE"/>
    <w:rsid w:val="00AE52FA"/>
    <w:rsid w:val="00B11E43"/>
    <w:rsid w:val="00B15D15"/>
    <w:rsid w:val="00B251C7"/>
    <w:rsid w:val="00B31C4F"/>
    <w:rsid w:val="00B56692"/>
    <w:rsid w:val="00B576C2"/>
    <w:rsid w:val="00B919DE"/>
    <w:rsid w:val="00BA480A"/>
    <w:rsid w:val="00BB338F"/>
    <w:rsid w:val="00BC4886"/>
    <w:rsid w:val="00C0085C"/>
    <w:rsid w:val="00C147B0"/>
    <w:rsid w:val="00C174ED"/>
    <w:rsid w:val="00C26B8C"/>
    <w:rsid w:val="00C80557"/>
    <w:rsid w:val="00C8071A"/>
    <w:rsid w:val="00C839B0"/>
    <w:rsid w:val="00CD5356"/>
    <w:rsid w:val="00CE2BC1"/>
    <w:rsid w:val="00CE2D4A"/>
    <w:rsid w:val="00D22BDD"/>
    <w:rsid w:val="00D33069"/>
    <w:rsid w:val="00D5465E"/>
    <w:rsid w:val="00D7108F"/>
    <w:rsid w:val="00D815EA"/>
    <w:rsid w:val="00D90AA5"/>
    <w:rsid w:val="00DB44E9"/>
    <w:rsid w:val="00E149C9"/>
    <w:rsid w:val="00E363D6"/>
    <w:rsid w:val="00E36C43"/>
    <w:rsid w:val="00E65043"/>
    <w:rsid w:val="00E94602"/>
    <w:rsid w:val="00E95822"/>
    <w:rsid w:val="00EA23E9"/>
    <w:rsid w:val="00EB73D1"/>
    <w:rsid w:val="00ED6730"/>
    <w:rsid w:val="00F044E7"/>
    <w:rsid w:val="00F066A6"/>
    <w:rsid w:val="00F16B9E"/>
    <w:rsid w:val="00F32629"/>
    <w:rsid w:val="00F35EF5"/>
    <w:rsid w:val="00F37C53"/>
    <w:rsid w:val="00F53AAB"/>
    <w:rsid w:val="00F55A85"/>
    <w:rsid w:val="00F645A4"/>
    <w:rsid w:val="00F73C4E"/>
    <w:rsid w:val="00F841E6"/>
    <w:rsid w:val="00F926D2"/>
    <w:rsid w:val="00FA0B5A"/>
    <w:rsid w:val="00FA6852"/>
    <w:rsid w:val="00FC590A"/>
    <w:rsid w:val="00FD1DBA"/>
    <w:rsid w:val="082274C6"/>
    <w:rsid w:val="0FCF4E6F"/>
    <w:rsid w:val="14BE09E0"/>
    <w:rsid w:val="15E6046B"/>
    <w:rsid w:val="21AA6FB8"/>
    <w:rsid w:val="34400987"/>
    <w:rsid w:val="3B300E76"/>
    <w:rsid w:val="58536592"/>
    <w:rsid w:val="5D123F59"/>
    <w:rsid w:val="615C49C0"/>
    <w:rsid w:val="657E7D48"/>
    <w:rsid w:val="6E845CE0"/>
    <w:rsid w:val="710A5D2E"/>
    <w:rsid w:val="7C7E28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line="360" w:lineRule="auto"/>
      <w:ind w:firstLine="480" w:firstLineChars="200"/>
    </w:pPr>
    <w:rPr>
      <w:rFonts w:ascii="宋体" w:hAnsi="宋体" w:cs="Times New Roman"/>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semiHidden/>
    <w:qFormat/>
    <w:locked/>
    <w:uiPriority w:val="99"/>
    <w:rPr>
      <w:sz w:val="18"/>
      <w:szCs w:val="18"/>
    </w:rPr>
  </w:style>
  <w:style w:type="character" w:customStyle="1" w:styleId="10">
    <w:name w:val="页脚 Char"/>
    <w:basedOn w:val="8"/>
    <w:link w:val="4"/>
    <w:semiHidden/>
    <w:qFormat/>
    <w:locked/>
    <w:uiPriority w:val="99"/>
    <w:rPr>
      <w:sz w:val="18"/>
      <w:szCs w:val="18"/>
    </w:rPr>
  </w:style>
  <w:style w:type="paragraph" w:styleId="11">
    <w:name w:val="List Paragraph"/>
    <w:basedOn w:val="1"/>
    <w:qFormat/>
    <w:uiPriority w:val="99"/>
    <w:pPr>
      <w:ind w:firstLine="420" w:firstLineChars="200"/>
    </w:p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3">
    <w:name w:val="批注框文本 Char"/>
    <w:basedOn w:val="8"/>
    <w:link w:val="3"/>
    <w:semiHidden/>
    <w:qFormat/>
    <w:uiPriority w:val="99"/>
    <w:rPr>
      <w:rFonts w:cs="Calibri"/>
      <w:kern w:val="2"/>
      <w:sz w:val="18"/>
      <w:szCs w:val="18"/>
    </w:rPr>
  </w:style>
  <w:style w:type="character" w:customStyle="1" w:styleId="14">
    <w:name w:val="正文文本缩进 Char"/>
    <w:basedOn w:val="8"/>
    <w:link w:val="2"/>
    <w:qFormat/>
    <w:uiPriority w:val="0"/>
    <w:rPr>
      <w:rFonts w:ascii="宋体" w:hAnsi="宋体"/>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1920</Words>
  <Characters>2126</Characters>
  <Lines>12</Lines>
  <Paragraphs>3</Paragraphs>
  <TotalTime>9</TotalTime>
  <ScaleCrop>false</ScaleCrop>
  <LinksUpToDate>false</LinksUpToDate>
  <CharactersWithSpaces>2129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2014-06-24T01:43:00Z</dcterms:created>
  <dc:creator>陆小亭</dc:creator>
  <cp:lastModifiedBy>诩歌</cp:lastModifiedBy>
  <cp:lastPrinted>2022-05-16T06:32:00Z</cp:lastPrinted>
  <dcterms:modified xsi:type="dcterms:W3CDTF">2022-10-11T08:59:14Z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93BF6805ED814F7EB9821420EDDF1CF4</vt:lpwstr>
  </property>
</Properties>
</file>