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3F" w:rsidRPr="00CF0E3F" w:rsidRDefault="00CF0E3F" w:rsidP="00CF0E3F">
      <w:pPr>
        <w:widowControl/>
        <w:shd w:val="clear" w:color="auto" w:fill="FFFFFF"/>
        <w:spacing w:line="798" w:lineRule="atLeast"/>
        <w:jc w:val="center"/>
        <w:outlineLvl w:val="0"/>
        <w:rPr>
          <w:rFonts w:ascii="微软雅黑" w:eastAsia="微软雅黑" w:hAnsi="微软雅黑" w:cs="宋体"/>
          <w:b/>
          <w:color w:val="333333"/>
          <w:kern w:val="36"/>
          <w:sz w:val="36"/>
          <w:szCs w:val="36"/>
        </w:rPr>
      </w:pPr>
      <w:r w:rsidRPr="00CF0E3F">
        <w:rPr>
          <w:rFonts w:ascii="微软雅黑" w:eastAsia="微软雅黑" w:hAnsi="微软雅黑" w:cs="宋体" w:hint="eastAsia"/>
          <w:b/>
          <w:color w:val="333333"/>
          <w:kern w:val="36"/>
          <w:sz w:val="36"/>
          <w:szCs w:val="36"/>
        </w:rPr>
        <w:t>中共中央办公厅 国务院办公厅印发《关于深化审评审批制度改革鼓励药品医疗器械创新的意见》</w:t>
      </w:r>
    </w:p>
    <w:p w:rsidR="00CF0E3F" w:rsidRPr="00CF0E3F" w:rsidRDefault="009022BC" w:rsidP="00CF0E3F">
      <w:pPr>
        <w:widowControl/>
        <w:shd w:val="clear" w:color="auto" w:fill="FFFFFF"/>
        <w:jc w:val="center"/>
        <w:rPr>
          <w:rFonts w:ascii="宋体" w:eastAsia="宋体" w:hAnsi="宋体" w:cs="宋体"/>
          <w:b/>
          <w:color w:val="898989"/>
          <w:kern w:val="0"/>
          <w:sz w:val="20"/>
          <w:szCs w:val="20"/>
        </w:rPr>
      </w:pPr>
      <w:hyperlink r:id="rId6" w:tooltip="微信" w:history="1">
        <w:r w:rsidR="00CF0E3F" w:rsidRPr="000C6574">
          <w:rPr>
            <w:rFonts w:ascii="宋体" w:eastAsia="宋体" w:hAnsi="宋体" w:cs="宋体" w:hint="eastAsia"/>
            <w:b/>
            <w:color w:val="000000"/>
            <w:kern w:val="0"/>
            <w:sz w:val="20"/>
          </w:rPr>
          <w:t> </w:t>
        </w:r>
      </w:hyperlink>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新华社北京10月8日电 近日，</w:t>
      </w:r>
      <w:r w:rsidRPr="007F5596">
        <w:rPr>
          <w:rFonts w:ascii="方正兰亭超细黑简体" w:eastAsia="方正兰亭超细黑简体" w:hAnsi="宋体" w:cs="宋体" w:hint="eastAsia"/>
          <w:b/>
          <w:color w:val="333333"/>
          <w:kern w:val="0"/>
          <w:sz w:val="30"/>
          <w:szCs w:val="30"/>
          <w:highlight w:val="green"/>
        </w:rPr>
        <w:t>中共中央办公厅、国务院办公厅</w:t>
      </w:r>
      <w:r w:rsidRPr="00CF0E3F">
        <w:rPr>
          <w:rFonts w:ascii="方正兰亭超细黑简体" w:eastAsia="方正兰亭超细黑简体" w:hAnsi="宋体" w:cs="宋体" w:hint="eastAsia"/>
          <w:b/>
          <w:color w:val="333333"/>
          <w:kern w:val="0"/>
          <w:sz w:val="30"/>
          <w:szCs w:val="30"/>
        </w:rPr>
        <w:t>印发了《关于深化审评审批制度改革鼓励药品医疗器械创新的意见》，并发出通知，要求各地区各部门结合实际认真贯彻落实。</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《关于深化审评审批制度改革鼓励药品医疗器械创新的意见》全文如下。</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当前，我国药品医疗器械产业快速发展，创新创业方兴未艾，审评审批制度改革持续推进。但总体上看，我国药品医疗器械科技创新支撑不够，上市产品质量与国际先进水平存在差距。为促进药品医疗器械产业结构调整和技术创新，提高产业竞争力，满足公众临床需要，现就深化审评审批制度改革鼓励药品医疗器械创新提出以下意见。</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bCs/>
          <w:color w:val="333333"/>
          <w:kern w:val="0"/>
          <w:sz w:val="30"/>
          <w:szCs w:val="30"/>
        </w:rPr>
        <w:t>一、改革临床试验管理</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（一）</w:t>
      </w:r>
      <w:r w:rsidRPr="00AB0A93">
        <w:rPr>
          <w:rFonts w:ascii="方正兰亭超细黑简体" w:eastAsia="方正兰亭超细黑简体" w:hAnsi="宋体" w:cs="宋体" w:hint="eastAsia"/>
          <w:b/>
          <w:color w:val="333333"/>
          <w:kern w:val="0"/>
          <w:sz w:val="30"/>
          <w:szCs w:val="30"/>
          <w:highlight w:val="green"/>
        </w:rPr>
        <w:t>临床试验机构资格认定实行备案管理</w:t>
      </w:r>
      <w:r w:rsidRPr="00CF0E3F">
        <w:rPr>
          <w:rFonts w:ascii="方正兰亭超细黑简体" w:eastAsia="方正兰亭超细黑简体" w:hAnsi="宋体" w:cs="宋体" w:hint="eastAsia"/>
          <w:b/>
          <w:color w:val="333333"/>
          <w:kern w:val="0"/>
          <w:sz w:val="30"/>
          <w:szCs w:val="30"/>
        </w:rPr>
        <w:t>。具备临床试验条件的机构在食品药品监管部门指定网站</w:t>
      </w:r>
      <w:r w:rsidRPr="00AB0A93">
        <w:rPr>
          <w:rFonts w:ascii="方正兰亭超细黑简体" w:eastAsia="方正兰亭超细黑简体" w:hAnsi="宋体" w:cs="宋体" w:hint="eastAsia"/>
          <w:b/>
          <w:color w:val="333333"/>
          <w:kern w:val="0"/>
          <w:sz w:val="30"/>
          <w:szCs w:val="30"/>
          <w:highlight w:val="green"/>
        </w:rPr>
        <w:t>登记备案</w:t>
      </w:r>
      <w:r w:rsidRPr="00AB0A93">
        <w:rPr>
          <w:rFonts w:ascii="方正兰亭超细黑简体" w:eastAsia="方正兰亭超细黑简体" w:hAnsi="宋体" w:cs="宋体" w:hint="eastAsia"/>
          <w:b/>
          <w:color w:val="FF0000"/>
          <w:kern w:val="0"/>
          <w:sz w:val="30"/>
          <w:szCs w:val="30"/>
          <w:highlight w:val="green"/>
        </w:rPr>
        <w:t>后</w:t>
      </w:r>
      <w:r w:rsidRPr="00CF0E3F">
        <w:rPr>
          <w:rFonts w:ascii="方正兰亭超细黑简体" w:eastAsia="方正兰亭超细黑简体" w:hAnsi="宋体" w:cs="宋体" w:hint="eastAsia"/>
          <w:b/>
          <w:color w:val="333333"/>
          <w:kern w:val="0"/>
          <w:sz w:val="30"/>
          <w:szCs w:val="30"/>
        </w:rPr>
        <w:t>，可接受药品医疗器械注册申请人委托开展临床试验。临床试验主要研究者应具有高级职称，参加过3个以上临床试验。注册申请人可聘</w:t>
      </w:r>
      <w:r w:rsidRPr="00CF0E3F">
        <w:rPr>
          <w:rFonts w:ascii="方正兰亭超细黑简体" w:eastAsia="方正兰亭超细黑简体" w:hAnsi="宋体" w:cs="宋体" w:hint="eastAsia"/>
          <w:b/>
          <w:color w:val="333333"/>
          <w:kern w:val="0"/>
          <w:sz w:val="30"/>
          <w:szCs w:val="30"/>
        </w:rPr>
        <w:lastRenderedPageBreak/>
        <w:t>请第三方对临床试验机构是否具备条件进行评估认证。鼓励社会力量投资设立临床试验机构。</w:t>
      </w:r>
      <w:r w:rsidRPr="00706AC3">
        <w:rPr>
          <w:rFonts w:ascii="方正兰亭超细黑简体" w:eastAsia="方正兰亭超细黑简体" w:hAnsi="宋体" w:cs="宋体" w:hint="eastAsia"/>
          <w:b/>
          <w:color w:val="FF0000"/>
          <w:kern w:val="0"/>
          <w:sz w:val="30"/>
          <w:szCs w:val="30"/>
        </w:rPr>
        <w:t>临床试验机构管理规定由食品药品监管总局会同国家卫生计生委制定。</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支持临床试验机构和人员开展临床试验。支持医疗机构、医学研究机构、医药高等学校开展临床试验，将临床试验条件和能力评价纳入医疗机构等级评审。对开展临床试验的医疗机构建立单独评价考核体系，仅用于临床试验的病床不计入医疗机构总病床，不规定病床效益、周转率、使用率等考评指标。鼓励医疗机构设立专职临床试验部门，配备职业化的临床试验研究者。完善单位绩效工资分配激励机制，保障临床试验研究者收入水平。鼓励临床医生参与药品医疗器械技术创新活动，对临床试验研究者在职务提升、职称晋升等方面与临床医生一视同仁。允许境外企业和科研机构在我国依法同步开展新药临床试验。</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完善伦理委员会机制。临床试验应符合伦理道德标准，保证受试者在自愿参与前被告知足够的试验信息，理解并签署知情同意书，保护受试者的安全、健康和权益。临床试验机构应成立伦理委员会，负责审查本机构临床试验方案，审核和监督临床试验研究者的资质，监督临床试验开展情况并接受监管部门检查。各地可根据需要设立区域伦理委员会，指导临床试验机构伦理审查工作，可接受不具备伦理审查条件的机构或注册申请人</w:t>
      </w:r>
      <w:r w:rsidRPr="001B5407">
        <w:rPr>
          <w:rFonts w:ascii="方正兰亭超细黑简体" w:eastAsia="方正兰亭超细黑简体" w:hAnsi="宋体" w:cs="宋体" w:hint="eastAsia"/>
          <w:b/>
          <w:color w:val="FF0000"/>
          <w:kern w:val="0"/>
          <w:sz w:val="30"/>
          <w:szCs w:val="30"/>
        </w:rPr>
        <w:t>委托对临床试验方案进行伦理审查</w:t>
      </w:r>
      <w:r w:rsidRPr="00CF0E3F">
        <w:rPr>
          <w:rFonts w:ascii="方正兰亭超细黑简体" w:eastAsia="方正兰亭超细黑简体" w:hAnsi="宋体" w:cs="宋体" w:hint="eastAsia"/>
          <w:b/>
          <w:color w:val="333333"/>
          <w:kern w:val="0"/>
          <w:sz w:val="30"/>
          <w:szCs w:val="30"/>
        </w:rPr>
        <w:t>，并监督临床试验开展情况。卫生计</w:t>
      </w:r>
      <w:r w:rsidRPr="00CF0E3F">
        <w:rPr>
          <w:rFonts w:ascii="方正兰亭超细黑简体" w:eastAsia="方正兰亭超细黑简体" w:hAnsi="宋体" w:cs="宋体" w:hint="eastAsia"/>
          <w:b/>
          <w:color w:val="333333"/>
          <w:kern w:val="0"/>
          <w:sz w:val="30"/>
          <w:szCs w:val="30"/>
        </w:rPr>
        <w:lastRenderedPageBreak/>
        <w:t>生、中医药管理、食品药品监管等部门要加强对伦理委员会工作的管理指导和业务监督。</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（四）提高伦理审查效率。</w:t>
      </w:r>
      <w:r w:rsidRPr="00401FFC">
        <w:rPr>
          <w:rFonts w:ascii="方正兰亭超细黑简体" w:eastAsia="方正兰亭超细黑简体" w:hAnsi="宋体" w:cs="宋体" w:hint="eastAsia"/>
          <w:b/>
          <w:color w:val="FF0000"/>
          <w:kern w:val="0"/>
          <w:sz w:val="30"/>
          <w:szCs w:val="30"/>
        </w:rPr>
        <w:t>注册申请人提出临床试验申请前，应先将临床试验方案提交临床试验机构伦理委员会审查批准</w:t>
      </w:r>
      <w:r w:rsidRPr="00CF0E3F">
        <w:rPr>
          <w:rFonts w:ascii="方正兰亭超细黑简体" w:eastAsia="方正兰亭超细黑简体" w:hAnsi="宋体" w:cs="宋体" w:hint="eastAsia"/>
          <w:b/>
          <w:color w:val="333333"/>
          <w:kern w:val="0"/>
          <w:sz w:val="30"/>
          <w:szCs w:val="30"/>
        </w:rPr>
        <w:t>。在我国境内开展多中心临床试验的，经临床试验组长单位伦理审查后，其他成员单位应认可组长单位的审查结论，不再重复审查。国家临床医学研究中心及承担国家科技重大专项和国家重点研发计划支持项目的临床试验机构，应整合资源建立统一的伦理审查平台，逐步推进伦理审查互认。</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（五）优化临床试验审批程序。建立完善注册申请人与审评机构的沟通交流机制。受理药物临床试验和需审批的医疗器械临床试验申请前，审评机构应与注册申请人进行会议沟通，提出意见建议。</w:t>
      </w:r>
      <w:r w:rsidRPr="00401FFC">
        <w:rPr>
          <w:rFonts w:ascii="方正兰亭超细黑简体" w:eastAsia="方正兰亭超细黑简体" w:hAnsi="宋体" w:cs="宋体" w:hint="eastAsia"/>
          <w:b/>
          <w:color w:val="FF0000"/>
          <w:kern w:val="0"/>
          <w:sz w:val="30"/>
          <w:szCs w:val="30"/>
        </w:rPr>
        <w:t>受理临床试验申请后一定期限内，食品药品监管部门未给出否定或质疑意见即视为同意</w:t>
      </w:r>
      <w:r w:rsidRPr="0083123B">
        <w:rPr>
          <w:rFonts w:ascii="方正兰亭超细黑简体" w:eastAsia="方正兰亭超细黑简体" w:hAnsi="宋体" w:cs="宋体" w:hint="eastAsia"/>
          <w:b/>
          <w:color w:val="FF0000"/>
          <w:kern w:val="0"/>
          <w:sz w:val="30"/>
          <w:szCs w:val="30"/>
        </w:rPr>
        <w:t>，注册申请人可按照提交的方案开展临床试验。</w:t>
      </w:r>
      <w:r w:rsidRPr="00CF0E3F">
        <w:rPr>
          <w:rFonts w:ascii="方正兰亭超细黑简体" w:eastAsia="方正兰亭超细黑简体" w:hAnsi="宋体" w:cs="宋体" w:hint="eastAsia"/>
          <w:b/>
          <w:color w:val="333333"/>
          <w:kern w:val="0"/>
          <w:sz w:val="30"/>
          <w:szCs w:val="30"/>
        </w:rPr>
        <w:t>临床试验期间，发生临床试验方案变更、重大药学变更或非临床研究安全性问题的，注册申请人应及时将</w:t>
      </w:r>
      <w:r w:rsidRPr="009A23E6">
        <w:rPr>
          <w:rFonts w:ascii="方正兰亭超细黑简体" w:eastAsia="方正兰亭超细黑简体" w:hAnsi="宋体" w:cs="宋体" w:hint="eastAsia"/>
          <w:b/>
          <w:color w:val="FF0000"/>
          <w:kern w:val="0"/>
          <w:sz w:val="30"/>
          <w:szCs w:val="30"/>
        </w:rPr>
        <w:t>变更情况报送审评机构</w:t>
      </w:r>
      <w:r w:rsidRPr="00CF0E3F">
        <w:rPr>
          <w:rFonts w:ascii="方正兰亭超细黑简体" w:eastAsia="方正兰亭超细黑简体" w:hAnsi="宋体" w:cs="宋体" w:hint="eastAsia"/>
          <w:b/>
          <w:color w:val="333333"/>
          <w:kern w:val="0"/>
          <w:sz w:val="30"/>
          <w:szCs w:val="30"/>
        </w:rPr>
        <w:t>；发现存在安全性及其他风险的，应及时修改临床试验方案、暂停或终止临床试验。药品注册申请人可自行或委托检验机构对临床试验样品出具检验报告，连同样品一并报送药品审评机构，并确保临床试验实际使用的样品与提交的样品一致。</w:t>
      </w:r>
      <w:r w:rsidRPr="00CF0E3F">
        <w:rPr>
          <w:rFonts w:ascii="方正兰亭超细黑简体" w:eastAsia="方正兰亭超细黑简体" w:hAnsi="宋体" w:cs="宋体" w:hint="eastAsia"/>
          <w:b/>
          <w:color w:val="333333"/>
          <w:kern w:val="0"/>
          <w:sz w:val="30"/>
          <w:szCs w:val="30"/>
        </w:rPr>
        <w:lastRenderedPageBreak/>
        <w:t>优化临床试验中涉及国际合作的人类遗传资源活动审批程序，加快临床试验进程。</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六）接受境外临床试验数据。在境外多中心取得的临床试验数据，符合中国药品医疗器械注册相关要求的，可用于在中国申报注册申请。对在中国首次申请上市的药品医疗器械，注册申请人应提供是否存在人种差异的临床试验数据。</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七）支持拓展性临床试验。对正在开展临床试验的用于治疗严重危及生命且尚无有效治疗手段疾病的药品医疗器械，经初步观察可能获益，符合伦理要求的，经知情同意后可在开展临床试验的机构内用于其他患者，其安全性数据可用于注册申请。</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八）严肃查处数据造假行为。临床试验委托协议签署人和临床试验研究者是临床试验数据的第一责任人，须对临床试验数据可靠性承担法律责任。建立基于风险和审评需要的检查模式，加强对非临床研究、临床试验的现场检查和有因检查，检查结果向社会公开。未通过检查的，相关数据不被接受；存在真实性问题的，应及时立案调查，依法追究相关非临床研究机构和临床试验机构责任人、虚假报告提供责任人、注册申请人及合同研究组织责任人的责任；拒绝、逃避、阻碍检查的，依法从重处罚。注册申请人主动发现问题并及时报告的，可酌情减免处罚。</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bCs/>
          <w:color w:val="333333"/>
          <w:kern w:val="0"/>
          <w:sz w:val="30"/>
          <w:szCs w:val="30"/>
        </w:rPr>
        <w:lastRenderedPageBreak/>
        <w:t>二、加快上市审评审批</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九）加快临床急需药品医疗器械审评审批。对治疗严重危及生命且尚无有效治疗手段疾病以及公共卫生方面等急需的药品医疗器械，临床试验早期、中期指标显示疗效并可预测其临床价值的，可附带条件批准上市，企业应制定风险管控计划，按要求开展研究。鼓励新药和创新医疗器械研发，对国家科技重大专项和国家重点研发计划支持以及由国家临床医学研究中心开展临床试验并经中心管理部门认可的新药和创新医疗器械，给予优先审评审批。</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支持罕见病治疗药品医疗器械研发。国家卫生计生委或由其委托有关行业协（学）会公布罕见病目录，建立罕见病患者登记制度。罕见病治疗药品医疗器械注册申请人可提出减免临床试验的申请。对境外已批准上市的罕见病治疗药品医疗器械，可附带条件批准上市，企业应制定风险管控计划，按要求开展研究。</w:t>
      </w:r>
    </w:p>
    <w:p w:rsidR="00CF0E3F" w:rsidRPr="006A1650"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FF0000"/>
          <w:kern w:val="0"/>
          <w:sz w:val="30"/>
          <w:szCs w:val="30"/>
        </w:rPr>
      </w:pPr>
      <w:r w:rsidRPr="006A1650">
        <w:rPr>
          <w:rFonts w:ascii="方正兰亭超细黑简体" w:eastAsia="方正兰亭超细黑简体" w:hAnsi="宋体" w:cs="宋体" w:hint="eastAsia"/>
          <w:b/>
          <w:color w:val="FF0000"/>
          <w:kern w:val="0"/>
          <w:sz w:val="30"/>
          <w:szCs w:val="30"/>
          <w:highlight w:val="green"/>
        </w:rPr>
        <w:t>（十一）严格药品注射剂审评审批。严格控制口服制剂改注射制剂，口服制剂能够满足临床需求的，不批准注射制剂上市。严格控制肌肉注射制剂改静脉注射制剂，肌肉注射制剂能够满足临床需求的，不批准静脉注射制剂上市。大容量注射剂、小容量注射剂、注射用无菌粉针之间互改剂型的申请，无明显临床优势的不予批准。</w:t>
      </w:r>
    </w:p>
    <w:p w:rsidR="00CF0E3F" w:rsidRPr="006A1650"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FF0000"/>
          <w:kern w:val="0"/>
          <w:sz w:val="30"/>
          <w:szCs w:val="30"/>
        </w:rPr>
      </w:pPr>
      <w:r w:rsidRPr="00CF0E3F">
        <w:rPr>
          <w:rFonts w:ascii="方正兰亭超细黑简体" w:eastAsia="方正兰亭超细黑简体" w:hAnsi="宋体" w:cs="宋体" w:hint="eastAsia"/>
          <w:b/>
          <w:color w:val="333333"/>
          <w:kern w:val="0"/>
          <w:sz w:val="30"/>
          <w:szCs w:val="30"/>
        </w:rPr>
        <w:lastRenderedPageBreak/>
        <w:t>（十二）</w:t>
      </w:r>
      <w:r w:rsidRPr="006A1650">
        <w:rPr>
          <w:rFonts w:ascii="方正兰亭超细黑简体" w:eastAsia="方正兰亭超细黑简体" w:hAnsi="宋体" w:cs="宋体" w:hint="eastAsia"/>
          <w:b/>
          <w:color w:val="FF0000"/>
          <w:kern w:val="0"/>
          <w:sz w:val="30"/>
          <w:szCs w:val="30"/>
          <w:highlight w:val="green"/>
        </w:rPr>
        <w:t>实行药品与药用原辅料和包装材料关联审批。原料药、药用辅料和包装材料在审批药品注册申请时一并审评审批，不再发放原料药批准文号，经关联审评审批的原料药、药用辅料和包装材料及其质量标准在指定平台公示，供相关企业选择。药品上市许可持有人对生产制剂所选用的原料药、药用辅料和包装材料的质量负责。</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三）支持中药传承和创新。建立完善符合中药特点的注册管理制度和技术评价体系，处理好保持中药传统优势与现代药品研发要求的关系。中药创新药，应突出疗效新的特点；中药改良型新药，应体现临床应用优势；经典名方类中药，按照简化标准审评审批；天然药物，按照现代医学标准审评审批。提高中药临床研究能力，中药注册申请需提交上市价值和资源评估材料，突出以临床价值为导向，促进资源可持续利用。鼓励运用现代科学技术研究开发传统中成药，鼓励发挥中药传统剂型优势研制中药新药，加强中药质量控制。</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四）建立专利强制许可药品优先审评审批制度。在公共健康受到重大威胁情况下，对取得实施强制许可的药品注册申请，予以优先审评审批。公共健康受到重大威胁的情形和启动强制许可的程序，由国家卫生计生委会同有关部门规定。</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bCs/>
          <w:color w:val="333333"/>
          <w:kern w:val="0"/>
          <w:sz w:val="30"/>
          <w:szCs w:val="30"/>
        </w:rPr>
        <w:lastRenderedPageBreak/>
        <w:t>三、促进药品创新和仿制药发展</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（十五）建立上市药品目录集。</w:t>
      </w:r>
      <w:r w:rsidRPr="004573D8">
        <w:rPr>
          <w:rFonts w:ascii="方正兰亭超细黑简体" w:eastAsia="方正兰亭超细黑简体" w:hAnsi="宋体" w:cs="宋体" w:hint="eastAsia"/>
          <w:b/>
          <w:color w:val="FF0000"/>
          <w:kern w:val="0"/>
          <w:sz w:val="30"/>
          <w:szCs w:val="30"/>
        </w:rPr>
        <w:t>新批准上市或通过仿制药质量和疗效一致性评价的药品，载入中国上市药品目录集</w:t>
      </w:r>
      <w:r w:rsidRPr="00CF0E3F">
        <w:rPr>
          <w:rFonts w:ascii="方正兰亭超细黑简体" w:eastAsia="方正兰亭超细黑简体" w:hAnsi="宋体" w:cs="宋体" w:hint="eastAsia"/>
          <w:b/>
          <w:color w:val="333333"/>
          <w:kern w:val="0"/>
          <w:sz w:val="30"/>
          <w:szCs w:val="30"/>
        </w:rPr>
        <w:t>，注明创新药、改良型新药及与原研药品质量和疗效一致的仿制药等属性，以及有效成份、剂型、规格、上市许可持有人、取得的专利权、试验数据保护期等信息。</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六）探索建立药品专利链接制度。为保护专利权人合法权益，降低仿制药专利侵权风险，鼓励仿制药发展，探索建立药品审评审批与药品专利链接制度。药品注册申请人提交注册申请时，应说明涉及的相关专利及其权属状态，并在规定期限内告知相关药品专利权人。专利权存在纠纷的，当事人可以向法院起诉，期间不停止药品技术审评。对通过技术审评的药品，食品药品监管部门根据法院生效判决、裁定或调解书作出是否批准上市的决定；超过一定期限未取得生效判决、裁定或调解书的，食品药品监管部门可批准上市。</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（十七）开展药品专利期限补偿制度试点。选择部分新药开展试点，对因临床试验和审评审批延误上市的时间，给予适当专利期限补偿。</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（十八）完善和落实药品试验数据保护制度。药品注册申请人在提交注册申请时，可同时提交试验数据保护申请。对创新药、罕见病治疗药品、儿童专用药、创新治疗用生物制品以及挑战专</w:t>
      </w:r>
      <w:r w:rsidRPr="00CF0E3F">
        <w:rPr>
          <w:rFonts w:ascii="方正兰亭超细黑简体" w:eastAsia="方正兰亭超细黑简体" w:hAnsi="宋体" w:cs="宋体" w:hint="eastAsia"/>
          <w:b/>
          <w:color w:val="333333"/>
          <w:kern w:val="0"/>
          <w:sz w:val="30"/>
          <w:szCs w:val="30"/>
        </w:rPr>
        <w:lastRenderedPageBreak/>
        <w:t>利成功药品注册申请人提交的自行取得且未披露的试验数据和其他数据，给予一定的</w:t>
      </w:r>
      <w:r w:rsidRPr="00497E03">
        <w:rPr>
          <w:rFonts w:ascii="方正兰亭超细黑简体" w:eastAsia="方正兰亭超细黑简体" w:hAnsi="宋体" w:cs="宋体" w:hint="eastAsia"/>
          <w:b/>
          <w:color w:val="FF0000"/>
          <w:kern w:val="0"/>
          <w:sz w:val="30"/>
          <w:szCs w:val="30"/>
        </w:rPr>
        <w:t>数据保护期</w:t>
      </w:r>
      <w:r w:rsidRPr="00CF0E3F">
        <w:rPr>
          <w:rFonts w:ascii="方正兰亭超细黑简体" w:eastAsia="方正兰亭超细黑简体" w:hAnsi="宋体" w:cs="宋体" w:hint="eastAsia"/>
          <w:b/>
          <w:color w:val="333333"/>
          <w:kern w:val="0"/>
          <w:sz w:val="30"/>
          <w:szCs w:val="30"/>
        </w:rPr>
        <w:t>。数据保护期自药品批准上市之日起计算。数据保护期内，不批准其他申请人同品种上市申请，申请人自行取得的数据或获得上市许可的申请人同意的除外。</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（十九）促进药品仿制生产。坚持鼓励创新与促进药品仿制生产、降低用药负担并重，</w:t>
      </w:r>
      <w:r w:rsidRPr="00497E03">
        <w:rPr>
          <w:rFonts w:ascii="方正兰亭超细黑简体" w:eastAsia="方正兰亭超细黑简体" w:hAnsi="宋体" w:cs="宋体" w:hint="eastAsia"/>
          <w:b/>
          <w:color w:val="FF0000"/>
          <w:kern w:val="0"/>
          <w:sz w:val="30"/>
          <w:szCs w:val="30"/>
        </w:rPr>
        <w:t>定期发布专利权到期、终止、无效且尚无仿制申请的药品清单，引导仿制药研发生产</w:t>
      </w:r>
      <w:r w:rsidRPr="00CF0E3F">
        <w:rPr>
          <w:rFonts w:ascii="方正兰亭超细黑简体" w:eastAsia="方正兰亭超细黑简体" w:hAnsi="宋体" w:cs="宋体" w:hint="eastAsia"/>
          <w:b/>
          <w:color w:val="333333"/>
          <w:kern w:val="0"/>
          <w:sz w:val="30"/>
          <w:szCs w:val="30"/>
        </w:rPr>
        <w:t>，提高公众用药可及性。完善相关研究和评价技术指导原则，支持生物类似药、具有临床价值的药械组合产品的仿制。加快推进仿制药质量和疗效一致性评价。</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发挥企业的创新主体作用。鼓励药品医疗器械企业增加研发投入，加强新产品研发和已上市产品的继续研究，持续完善生产工艺。允许科研机构和科研人员在承担相关法律责任的前提下申报临床试验。使用国家财政拨款开展新药和创新医疗器械研发及相关技术研究并作为职务科技成果转化的，单位可以规定或与科研人员约定奖励和报酬的方式、数额和时限，调动科研人员参与的积极性，促进科技成果转移转化。</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（二十一）支持新药临床应用。完善医疗保险药品目录动态调整机制，探索建立医疗保险药品支付标准谈判机制，及时按规定将新药纳入基本医疗保险支付范围，支持新药研发。各地可根</w:t>
      </w:r>
      <w:r w:rsidRPr="00CF0E3F">
        <w:rPr>
          <w:rFonts w:ascii="方正兰亭超细黑简体" w:eastAsia="方正兰亭超细黑简体" w:hAnsi="宋体" w:cs="宋体" w:hint="eastAsia"/>
          <w:b/>
          <w:color w:val="333333"/>
          <w:kern w:val="0"/>
          <w:sz w:val="30"/>
          <w:szCs w:val="30"/>
        </w:rPr>
        <w:lastRenderedPageBreak/>
        <w:t>据疾病防治需要，及时将新药纳入公立医院药品集中采购范围。鼓励医疗机构优先采购和使用疗效明确、价格合理的新药。</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bCs/>
          <w:color w:val="333333"/>
          <w:kern w:val="0"/>
          <w:sz w:val="30"/>
          <w:szCs w:val="30"/>
        </w:rPr>
        <w:t>四、加强药品医疗器械全生命周期管理</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（二十二）</w:t>
      </w:r>
      <w:r w:rsidRPr="006A1650">
        <w:rPr>
          <w:rFonts w:ascii="方正兰亭超细黑简体" w:eastAsia="方正兰亭超细黑简体" w:hAnsi="宋体" w:cs="宋体" w:hint="eastAsia"/>
          <w:b/>
          <w:color w:val="FF0000"/>
          <w:kern w:val="0"/>
          <w:sz w:val="30"/>
          <w:szCs w:val="30"/>
        </w:rPr>
        <w:t>推动上市许可持有人制度全面实施。</w:t>
      </w:r>
      <w:r w:rsidRPr="00CF0E3F">
        <w:rPr>
          <w:rFonts w:ascii="方正兰亭超细黑简体" w:eastAsia="方正兰亭超细黑简体" w:hAnsi="宋体" w:cs="宋体" w:hint="eastAsia"/>
          <w:b/>
          <w:color w:val="333333"/>
          <w:kern w:val="0"/>
          <w:sz w:val="30"/>
          <w:szCs w:val="30"/>
        </w:rPr>
        <w:t>及时总结药品上市许可持有人制度试点经验，推动修订药品管理法，力争早日在全国推开。允许医疗器械研发机构和科研人员申请医疗器械上市许可。</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三）落实上市许可持有人法律责任。药品上市许可持有人须对药品临床前研究、临床试验、生产制造、销售配送、不良反应报告等承担全部法律责任，确保提交的研究资料和临床试验数据真实、完整、可追溯，确保生产工艺与批准工艺一致且生产过程持续合规，确保销售的各批次药品与申报样品质量一致，确保对上市药品进行持续研究，及时报告发生的不良反应，评估风险情况，并提出改进措施。</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医疗器械上市许可持有人须对医疗器械设计开发、临床试验、生产制造、销售配送、不良事件报告等承担全部法律责任，确保提交的研究资料和临床试验数据真实、完整、可追溯，确保对上市医疗器械进行持续研究，及时报告发生的不良事件，评估风险情况，并提出改进措施。</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lastRenderedPageBreak/>
        <w:t>受药品医疗器械上市许可持有人委托进行研发、临床试验、生产制造、销售配送的企业、机构和个人，须承担法律法规规定的责任和协议约定的责任。</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四）建立上市许可持有人直接报告不良反应和不良事件制度。上市许可持有人承担不良反应和不良事件报告的主体责任，隐瞒不报或逾期报告的，依法从严惩处。食品药品监管部门应对报告的不良反应和不良事件进行调查分析，视情责令上市许可持有人采取暂停销售、召回、完善质量控制等措施。</w:t>
      </w:r>
    </w:p>
    <w:p w:rsidR="00CF0E3F" w:rsidRPr="00497E03"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FF0000"/>
          <w:kern w:val="0"/>
          <w:sz w:val="30"/>
          <w:szCs w:val="30"/>
        </w:rPr>
      </w:pPr>
      <w:r w:rsidRPr="00CF0E3F">
        <w:rPr>
          <w:rFonts w:ascii="方正兰亭超细黑简体" w:eastAsia="方正兰亭超细黑简体" w:hAnsi="宋体" w:cs="宋体" w:hint="eastAsia"/>
          <w:b/>
          <w:color w:val="333333"/>
          <w:kern w:val="0"/>
          <w:sz w:val="30"/>
          <w:szCs w:val="30"/>
        </w:rPr>
        <w:t>（二十五）开展药品注射剂再评价。根据药品科学进步情况，对</w:t>
      </w:r>
      <w:r w:rsidRPr="00497E03">
        <w:rPr>
          <w:rFonts w:ascii="方正兰亭超细黑简体" w:eastAsia="方正兰亭超细黑简体" w:hAnsi="宋体" w:cs="宋体" w:hint="eastAsia"/>
          <w:b/>
          <w:color w:val="FF0000"/>
          <w:kern w:val="0"/>
          <w:sz w:val="30"/>
          <w:szCs w:val="30"/>
        </w:rPr>
        <w:t>已上市药品注射剂进行再评价</w:t>
      </w:r>
      <w:r w:rsidRPr="00CF0E3F">
        <w:rPr>
          <w:rFonts w:ascii="方正兰亭超细黑简体" w:eastAsia="方正兰亭超细黑简体" w:hAnsi="宋体" w:cs="宋体" w:hint="eastAsia"/>
          <w:b/>
          <w:color w:val="333333"/>
          <w:kern w:val="0"/>
          <w:sz w:val="30"/>
          <w:szCs w:val="30"/>
        </w:rPr>
        <w:t>，力争用5至10年左右时间基本完成。上市许可持有人须将批准上市时的研究情况、上市后持续研究情况等进行综合分析，开展产品成份、作用机理和临床疗效研究，评估其安全性、有效性和质量可控性。</w:t>
      </w:r>
      <w:r w:rsidRPr="00497E03">
        <w:rPr>
          <w:rFonts w:ascii="方正兰亭超细黑简体" w:eastAsia="方正兰亭超细黑简体" w:hAnsi="宋体" w:cs="宋体" w:hint="eastAsia"/>
          <w:b/>
          <w:color w:val="FF0000"/>
          <w:kern w:val="0"/>
          <w:sz w:val="30"/>
          <w:szCs w:val="30"/>
        </w:rPr>
        <w:t>通过再评价的，享受仿制药质量和疗效一致性评价的相关鼓励政策。</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六）完善医疗器械再评价制度。上市许可持有人须根据科学进步情况和不良事件评估结果，主动对已上市医疗器械开展再评价。再评价发现产品不能保证安全、有效的，上市许可持有人应及时申请注销上市许可；隐匿再评价结果、应提出注销申请而未提出的，撤销上市许可并依法查处。</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（二十七）规范药品学术推广行为。</w:t>
      </w:r>
      <w:r w:rsidRPr="00497E03">
        <w:rPr>
          <w:rFonts w:ascii="方正兰亭超细黑简体" w:eastAsia="方正兰亭超细黑简体" w:hAnsi="宋体" w:cs="宋体" w:hint="eastAsia"/>
          <w:b/>
          <w:color w:val="FF0000"/>
          <w:kern w:val="0"/>
          <w:sz w:val="30"/>
          <w:szCs w:val="30"/>
        </w:rPr>
        <w:t>药品上市许可持有人须将医药代表名单在食品药品监管部门指定的网站备案</w:t>
      </w:r>
      <w:r w:rsidRPr="00CF0E3F">
        <w:rPr>
          <w:rFonts w:ascii="方正兰亭超细黑简体" w:eastAsia="方正兰亭超细黑简体" w:hAnsi="宋体" w:cs="宋体" w:hint="eastAsia"/>
          <w:b/>
          <w:color w:val="333333"/>
          <w:kern w:val="0"/>
          <w:sz w:val="30"/>
          <w:szCs w:val="30"/>
        </w:rPr>
        <w:t>，向社会公</w:t>
      </w:r>
      <w:r w:rsidRPr="00CF0E3F">
        <w:rPr>
          <w:rFonts w:ascii="方正兰亭超细黑简体" w:eastAsia="方正兰亭超细黑简体" w:hAnsi="宋体" w:cs="宋体" w:hint="eastAsia"/>
          <w:b/>
          <w:color w:val="333333"/>
          <w:kern w:val="0"/>
          <w:sz w:val="30"/>
          <w:szCs w:val="30"/>
        </w:rPr>
        <w:lastRenderedPageBreak/>
        <w:t>开。</w:t>
      </w:r>
      <w:r w:rsidRPr="00B67D6F">
        <w:rPr>
          <w:rFonts w:ascii="方正兰亭超细黑简体" w:eastAsia="方正兰亭超细黑简体" w:hAnsi="宋体" w:cs="宋体" w:hint="eastAsia"/>
          <w:b/>
          <w:color w:val="FF0000"/>
          <w:kern w:val="0"/>
          <w:sz w:val="30"/>
          <w:szCs w:val="30"/>
        </w:rPr>
        <w:t>医药代表负责药品学术推广，向医务人员介绍药品知识，听取临床使用的意见建议。</w:t>
      </w:r>
      <w:r w:rsidRPr="00CF0E3F">
        <w:rPr>
          <w:rFonts w:ascii="方正兰亭超细黑简体" w:eastAsia="方正兰亭超细黑简体" w:hAnsi="宋体" w:cs="宋体" w:hint="eastAsia"/>
          <w:b/>
          <w:color w:val="333333"/>
          <w:kern w:val="0"/>
          <w:sz w:val="30"/>
          <w:szCs w:val="30"/>
        </w:rPr>
        <w:t>医药代表的学术推广活动应公开进行，在医疗机构指定部门备案。禁止医药代表承担药品销售任务，禁止向医药代表或相关企业人员提供医生个人开具的药品处方数量。医药代表误导医生使用药品或隐匿药品不良反应的，应严肃查处；以医药代表名义进行药品经营活动的，按非法经营药品查处。</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bCs/>
          <w:color w:val="333333"/>
          <w:kern w:val="0"/>
          <w:sz w:val="30"/>
          <w:szCs w:val="30"/>
        </w:rPr>
        <w:t>五、提升技术支撑能力</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（二十八）完善技术审评制度。建立审评为主导、检查检验为支撑的技术审评体系，完善审评项目管理人制度、审评机构与注册申请人会议沟通制度、专家咨询委员会制度，加强内部管理，规范审评流程。</w:t>
      </w:r>
      <w:r w:rsidRPr="00B67D6F">
        <w:rPr>
          <w:rFonts w:ascii="方正兰亭超细黑简体" w:eastAsia="方正兰亭超细黑简体" w:hAnsi="宋体" w:cs="宋体" w:hint="eastAsia"/>
          <w:b/>
          <w:color w:val="FF0000"/>
          <w:kern w:val="0"/>
          <w:sz w:val="30"/>
          <w:szCs w:val="30"/>
        </w:rPr>
        <w:t>组建以临床医学专业人员为主，药学、药理毒理学、统计学等专业人员组成的药品审评团队，负责新药审评。</w:t>
      </w:r>
      <w:r w:rsidRPr="00CF0E3F">
        <w:rPr>
          <w:rFonts w:ascii="方正兰亭超细黑简体" w:eastAsia="方正兰亭超细黑简体" w:hAnsi="宋体" w:cs="宋体" w:hint="eastAsia"/>
          <w:b/>
          <w:color w:val="333333"/>
          <w:kern w:val="0"/>
          <w:sz w:val="30"/>
          <w:szCs w:val="30"/>
        </w:rPr>
        <w:t>组建由临床医学、临床诊断、机械、电子、材料、生物医学工程等专业人员组成的医疗器械审评团队，负责创新</w:t>
      </w:r>
      <w:r w:rsidRPr="00B67D6F">
        <w:rPr>
          <w:rFonts w:ascii="方正兰亭超细黑简体" w:eastAsia="方正兰亭超细黑简体" w:hAnsi="宋体" w:cs="宋体" w:hint="eastAsia"/>
          <w:b/>
          <w:color w:val="FF0000"/>
          <w:kern w:val="0"/>
          <w:sz w:val="30"/>
          <w:szCs w:val="30"/>
        </w:rPr>
        <w:t>医疗器械审评</w:t>
      </w:r>
      <w:r w:rsidRPr="00CF0E3F">
        <w:rPr>
          <w:rFonts w:ascii="方正兰亭超细黑简体" w:eastAsia="方正兰亭超细黑简体" w:hAnsi="宋体" w:cs="宋体" w:hint="eastAsia"/>
          <w:b/>
          <w:color w:val="333333"/>
          <w:kern w:val="0"/>
          <w:sz w:val="30"/>
          <w:szCs w:val="30"/>
        </w:rPr>
        <w:t>。除生产工艺等技术秘密外，审评结论及依据全部公开，接受社会监督。统一第二类医疗器械审评标准，逐步实现国家统一审评。</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二十九）落实相关工作人员保密责任。参与药品医疗器械受理审查、审评审批、检查检验等监管工作的人员，对注册申请人提交的技术秘密和试验数据负有保密义务。违反保密义务的，依法依纪追究责任，处理结果向社会公开；涉嫌犯罪的，移交司</w:t>
      </w:r>
      <w:r w:rsidRPr="00CF0E3F">
        <w:rPr>
          <w:rFonts w:ascii="方正兰亭超细黑简体" w:eastAsia="方正兰亭超细黑简体" w:hAnsi="宋体" w:cs="宋体" w:hint="eastAsia"/>
          <w:b/>
          <w:color w:val="333333"/>
          <w:kern w:val="0"/>
          <w:sz w:val="30"/>
          <w:szCs w:val="30"/>
        </w:rPr>
        <w:lastRenderedPageBreak/>
        <w:t>法机关追究刑事责任。完善对注册申请材料的管理，确保查阅、复制情况可追溯。</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（三十）加强审评检查能力建设。将药品医疗器械审评纳入政府购买服务范围，提供规范高效审评服务。</w:t>
      </w:r>
      <w:r w:rsidRPr="00B67D6F">
        <w:rPr>
          <w:rFonts w:ascii="方正兰亭超细黑简体" w:eastAsia="方正兰亭超细黑简体" w:hAnsi="宋体" w:cs="宋体" w:hint="eastAsia"/>
          <w:b/>
          <w:color w:val="FF0000"/>
          <w:kern w:val="0"/>
          <w:sz w:val="30"/>
          <w:szCs w:val="30"/>
        </w:rPr>
        <w:t>加快药品医疗器械审评审批信息化建设，制定注册申请电子提交技术要求，完善电子通用技术文档系统，逐步实现各类注册申请的电子提交和审评审批。</w:t>
      </w:r>
      <w:r w:rsidRPr="00CF0E3F">
        <w:rPr>
          <w:rFonts w:ascii="方正兰亭超细黑简体" w:eastAsia="方正兰亭超细黑简体" w:hAnsi="宋体" w:cs="宋体" w:hint="eastAsia"/>
          <w:b/>
          <w:color w:val="333333"/>
          <w:kern w:val="0"/>
          <w:sz w:val="30"/>
          <w:szCs w:val="30"/>
        </w:rPr>
        <w:t>建立上市药品医疗器械品种档案。</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（三十一）落实全过程检查责任。药品医疗器械研发过程和药物非临床研究质量管理规范、药物临床试验质量管理规范、医疗器械临床试验质量管理规范执行情况，由</w:t>
      </w:r>
      <w:r w:rsidRPr="00B6593F">
        <w:rPr>
          <w:rFonts w:ascii="方正兰亭超细黑简体" w:eastAsia="方正兰亭超细黑简体" w:hAnsi="宋体" w:cs="宋体" w:hint="eastAsia"/>
          <w:b/>
          <w:color w:val="FF0000"/>
          <w:kern w:val="0"/>
          <w:sz w:val="30"/>
          <w:szCs w:val="30"/>
        </w:rPr>
        <w:t>国家食品药品监管部门组织检查</w:t>
      </w:r>
      <w:r w:rsidRPr="00CF0E3F">
        <w:rPr>
          <w:rFonts w:ascii="方正兰亭超细黑简体" w:eastAsia="方正兰亭超细黑简体" w:hAnsi="宋体" w:cs="宋体" w:hint="eastAsia"/>
          <w:b/>
          <w:color w:val="333333"/>
          <w:kern w:val="0"/>
          <w:sz w:val="30"/>
          <w:szCs w:val="30"/>
        </w:rPr>
        <w:t>。药品医疗器械生产过程和生产质量管理规范执行情况，由</w:t>
      </w:r>
      <w:r w:rsidRPr="00B6593F">
        <w:rPr>
          <w:rFonts w:ascii="方正兰亭超细黑简体" w:eastAsia="方正兰亭超细黑简体" w:hAnsi="宋体" w:cs="宋体" w:hint="eastAsia"/>
          <w:b/>
          <w:color w:val="FF0000"/>
          <w:kern w:val="0"/>
          <w:sz w:val="30"/>
          <w:szCs w:val="30"/>
        </w:rPr>
        <w:t>省级以上食品药品监管部门负责检查</w:t>
      </w:r>
      <w:r w:rsidRPr="00CF0E3F">
        <w:rPr>
          <w:rFonts w:ascii="方正兰亭超细黑简体" w:eastAsia="方正兰亭超细黑简体" w:hAnsi="宋体" w:cs="宋体" w:hint="eastAsia"/>
          <w:b/>
          <w:color w:val="333333"/>
          <w:kern w:val="0"/>
          <w:sz w:val="30"/>
          <w:szCs w:val="30"/>
        </w:rPr>
        <w:t>。药品医疗器械经营过程和经营质量管理规范执行情况，由</w:t>
      </w:r>
      <w:r w:rsidRPr="00B6593F">
        <w:rPr>
          <w:rFonts w:ascii="方正兰亭超细黑简体" w:eastAsia="方正兰亭超细黑简体" w:hAnsi="宋体" w:cs="宋体" w:hint="eastAsia"/>
          <w:b/>
          <w:color w:val="FF0000"/>
          <w:kern w:val="0"/>
          <w:sz w:val="30"/>
          <w:szCs w:val="30"/>
        </w:rPr>
        <w:t>市县两级食品药品监管部门负责检查</w:t>
      </w:r>
      <w:r w:rsidRPr="00CF0E3F">
        <w:rPr>
          <w:rFonts w:ascii="方正兰亭超细黑简体" w:eastAsia="方正兰亭超细黑简体" w:hAnsi="宋体" w:cs="宋体" w:hint="eastAsia"/>
          <w:b/>
          <w:color w:val="333333"/>
          <w:kern w:val="0"/>
          <w:sz w:val="30"/>
          <w:szCs w:val="30"/>
        </w:rPr>
        <w:t>。检查发现问题的，应依法依规查处并及时采取风险控制措施；涉嫌犯罪的，移交司法机关追究刑事责任。推动违法行为处罚到人，检查和处罚结果向社会公开。</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十二）建设职业化检查员队伍。依托现有资源加快检查员队伍建设，形成以专职检查员为主体、兼职检查员为补充的职业化检查员队伍。实施检查员分级管理制度，强化检查员培训，加强检查装备配备，提升检查能力和水平。</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lastRenderedPageBreak/>
        <w:t>（三十三）加强国际合作。深化多双边药品医疗器械监管政策与技术交流，积极参与国际规则和标准的制定修订，推动逐步实现审评、检查、检验标准和结果国际共享。</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bCs/>
          <w:color w:val="333333"/>
          <w:kern w:val="0"/>
          <w:sz w:val="30"/>
          <w:szCs w:val="30"/>
        </w:rPr>
        <w:t>六、加强组织实施</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十四）加强组织领导。各地区各有关部门要充分认识深化审评审批制度改革鼓励药品医疗器械创新的重要意义，高度重视药品医疗器械审评审批改革和创新工作，将其作为建设创新型国家、促进高科技产业发展的重要内容予以支持，加强统筹协调，细化实施方案，健全工作机制，切实抓好任务落实。坚持运用法治思维和法治方式推进改革，不断完善相关法律法规和制度体系，改革措施涉及法律修改或需要取得相应授权的，按程序提请修改法律或由立法机关授权后实施。</w:t>
      </w:r>
    </w:p>
    <w:p w:rsid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（三十五）强化协作配合。充分发挥药品医疗器械审评审批制度改革部际联席会议制度的作用，及时研究解决改革中遇到的矛盾和问题。</w:t>
      </w:r>
      <w:r w:rsidRPr="007515FD">
        <w:rPr>
          <w:rFonts w:ascii="方正兰亭超细黑简体" w:eastAsia="方正兰亭超细黑简体" w:hAnsi="宋体" w:cs="宋体" w:hint="eastAsia"/>
          <w:b/>
          <w:color w:val="333333"/>
          <w:kern w:val="0"/>
          <w:sz w:val="30"/>
          <w:szCs w:val="30"/>
          <w:highlight w:val="green"/>
        </w:rPr>
        <w:t>国家食品药品监管部门</w:t>
      </w:r>
      <w:r w:rsidRPr="00CF0E3F">
        <w:rPr>
          <w:rFonts w:ascii="方正兰亭超细黑简体" w:eastAsia="方正兰亭超细黑简体" w:hAnsi="宋体" w:cs="宋体" w:hint="eastAsia"/>
          <w:b/>
          <w:color w:val="333333"/>
          <w:kern w:val="0"/>
          <w:sz w:val="30"/>
          <w:szCs w:val="30"/>
        </w:rPr>
        <w:t>要发挥好牵头作用，抓好改革具体实施，协调推进任务落实。各相关部门要依法履职，分工协作，形成改革合力。</w:t>
      </w:r>
      <w:r w:rsidRPr="007515FD">
        <w:rPr>
          <w:rFonts w:ascii="方正兰亭超细黑简体" w:eastAsia="方正兰亭超细黑简体" w:hAnsi="宋体" w:cs="宋体" w:hint="eastAsia"/>
          <w:b/>
          <w:color w:val="333333"/>
          <w:kern w:val="0"/>
          <w:sz w:val="30"/>
          <w:szCs w:val="30"/>
          <w:highlight w:val="green"/>
        </w:rPr>
        <w:t>发展改革部门</w:t>
      </w:r>
      <w:r w:rsidRPr="00CF0E3F">
        <w:rPr>
          <w:rFonts w:ascii="方正兰亭超细黑简体" w:eastAsia="方正兰亭超细黑简体" w:hAnsi="宋体" w:cs="宋体" w:hint="eastAsia"/>
          <w:b/>
          <w:color w:val="333333"/>
          <w:kern w:val="0"/>
          <w:sz w:val="30"/>
          <w:szCs w:val="30"/>
        </w:rPr>
        <w:t>要支持医药高科技产品的发展，将临床试验机构建设纳入医疗机构建设发展的重要内容。</w:t>
      </w:r>
      <w:r w:rsidRPr="007515FD">
        <w:rPr>
          <w:rFonts w:ascii="方正兰亭超细黑简体" w:eastAsia="方正兰亭超细黑简体" w:hAnsi="宋体" w:cs="宋体" w:hint="eastAsia"/>
          <w:b/>
          <w:color w:val="333333"/>
          <w:kern w:val="0"/>
          <w:sz w:val="30"/>
          <w:szCs w:val="30"/>
          <w:highlight w:val="green"/>
        </w:rPr>
        <w:t>科技部门</w:t>
      </w:r>
      <w:r w:rsidRPr="00CF0E3F">
        <w:rPr>
          <w:rFonts w:ascii="方正兰亭超细黑简体" w:eastAsia="方正兰亭超细黑简体" w:hAnsi="宋体" w:cs="宋体" w:hint="eastAsia"/>
          <w:b/>
          <w:color w:val="333333"/>
          <w:kern w:val="0"/>
          <w:sz w:val="30"/>
          <w:szCs w:val="30"/>
        </w:rPr>
        <w:t>要加强医药科技发展规划和指导，抓好新药和创新医疗器械研发相关科技计划（专项、基金）的实施。</w:t>
      </w:r>
      <w:r w:rsidRPr="007515FD">
        <w:rPr>
          <w:rFonts w:ascii="方正兰亭超细黑简体" w:eastAsia="方正兰亭超细黑简体" w:hAnsi="宋体" w:cs="宋体" w:hint="eastAsia"/>
          <w:b/>
          <w:color w:val="333333"/>
          <w:kern w:val="0"/>
          <w:sz w:val="30"/>
          <w:szCs w:val="30"/>
          <w:highlight w:val="green"/>
        </w:rPr>
        <w:t>工业和信息化部门</w:t>
      </w:r>
      <w:r w:rsidRPr="00CF0E3F">
        <w:rPr>
          <w:rFonts w:ascii="方正兰亭超细黑简体" w:eastAsia="方正兰亭超细黑简体" w:hAnsi="宋体" w:cs="宋体" w:hint="eastAsia"/>
          <w:b/>
          <w:color w:val="333333"/>
          <w:kern w:val="0"/>
          <w:sz w:val="30"/>
          <w:szCs w:val="30"/>
        </w:rPr>
        <w:t>要加强医药产业发展规划和指导，强化临床用药生产保障。</w:t>
      </w:r>
      <w:r w:rsidRPr="007515FD">
        <w:rPr>
          <w:rFonts w:ascii="方正兰亭超细黑简体" w:eastAsia="方正兰亭超细黑简体" w:hAnsi="宋体" w:cs="宋体" w:hint="eastAsia"/>
          <w:b/>
          <w:color w:val="333333"/>
          <w:kern w:val="0"/>
          <w:sz w:val="30"/>
          <w:szCs w:val="30"/>
          <w:highlight w:val="green"/>
        </w:rPr>
        <w:t>财政</w:t>
      </w:r>
      <w:r w:rsidRPr="007515FD">
        <w:rPr>
          <w:rFonts w:ascii="方正兰亭超细黑简体" w:eastAsia="方正兰亭超细黑简体" w:hAnsi="宋体" w:cs="宋体" w:hint="eastAsia"/>
          <w:b/>
          <w:color w:val="333333"/>
          <w:kern w:val="0"/>
          <w:sz w:val="30"/>
          <w:szCs w:val="30"/>
          <w:highlight w:val="green"/>
        </w:rPr>
        <w:lastRenderedPageBreak/>
        <w:t>部门</w:t>
      </w:r>
      <w:r w:rsidRPr="00CF0E3F">
        <w:rPr>
          <w:rFonts w:ascii="方正兰亭超细黑简体" w:eastAsia="方正兰亭超细黑简体" w:hAnsi="宋体" w:cs="宋体" w:hint="eastAsia"/>
          <w:b/>
          <w:color w:val="333333"/>
          <w:kern w:val="0"/>
          <w:sz w:val="30"/>
          <w:szCs w:val="30"/>
        </w:rPr>
        <w:t>要做好药品医疗器械审评审批、检查检验所需经费保障。</w:t>
      </w:r>
      <w:r w:rsidRPr="007515FD">
        <w:rPr>
          <w:rFonts w:ascii="方正兰亭超细黑简体" w:eastAsia="方正兰亭超细黑简体" w:hAnsi="宋体" w:cs="宋体" w:hint="eastAsia"/>
          <w:b/>
          <w:color w:val="333333"/>
          <w:kern w:val="0"/>
          <w:sz w:val="30"/>
          <w:szCs w:val="30"/>
          <w:highlight w:val="green"/>
        </w:rPr>
        <w:t>人力资源社会保障部门</w:t>
      </w:r>
      <w:r w:rsidRPr="00CF0E3F">
        <w:rPr>
          <w:rFonts w:ascii="方正兰亭超细黑简体" w:eastAsia="方正兰亭超细黑简体" w:hAnsi="宋体" w:cs="宋体" w:hint="eastAsia"/>
          <w:b/>
          <w:color w:val="333333"/>
          <w:kern w:val="0"/>
          <w:sz w:val="30"/>
          <w:szCs w:val="30"/>
        </w:rPr>
        <w:t>要做好医疗保险政策支持新药发展相关工作。</w:t>
      </w:r>
      <w:r w:rsidRPr="007515FD">
        <w:rPr>
          <w:rFonts w:ascii="方正兰亭超细黑简体" w:eastAsia="方正兰亭超细黑简体" w:hAnsi="宋体" w:cs="宋体" w:hint="eastAsia"/>
          <w:b/>
          <w:color w:val="333333"/>
          <w:kern w:val="0"/>
          <w:sz w:val="30"/>
          <w:szCs w:val="30"/>
          <w:highlight w:val="green"/>
        </w:rPr>
        <w:t>卫生计生部门</w:t>
      </w:r>
      <w:r w:rsidRPr="00CF0E3F">
        <w:rPr>
          <w:rFonts w:ascii="方正兰亭超细黑简体" w:eastAsia="方正兰亭超细黑简体" w:hAnsi="宋体" w:cs="宋体" w:hint="eastAsia"/>
          <w:b/>
          <w:color w:val="333333"/>
          <w:kern w:val="0"/>
          <w:sz w:val="30"/>
          <w:szCs w:val="30"/>
        </w:rPr>
        <w:t>要加强对临床试验机构建设的指导，加强伦理委员会管理和临床试验研究者培训。</w:t>
      </w:r>
      <w:r w:rsidRPr="007515FD">
        <w:rPr>
          <w:rFonts w:ascii="方正兰亭超细黑简体" w:eastAsia="方正兰亭超细黑简体" w:hAnsi="宋体" w:cs="宋体" w:hint="eastAsia"/>
          <w:b/>
          <w:color w:val="333333"/>
          <w:kern w:val="0"/>
          <w:sz w:val="30"/>
          <w:szCs w:val="30"/>
          <w:highlight w:val="green"/>
        </w:rPr>
        <w:t>知识产权部门</w:t>
      </w:r>
      <w:r w:rsidRPr="00CF0E3F">
        <w:rPr>
          <w:rFonts w:ascii="方正兰亭超细黑简体" w:eastAsia="方正兰亭超细黑简体" w:hAnsi="宋体" w:cs="宋体" w:hint="eastAsia"/>
          <w:b/>
          <w:color w:val="333333"/>
          <w:kern w:val="0"/>
          <w:sz w:val="30"/>
          <w:szCs w:val="30"/>
        </w:rPr>
        <w:t>要做好与专利有关的药品医疗器械知识产权保护工作。</w:t>
      </w:r>
      <w:r w:rsidRPr="007515FD">
        <w:rPr>
          <w:rFonts w:ascii="方正兰亭超细黑简体" w:eastAsia="方正兰亭超细黑简体" w:hAnsi="宋体" w:cs="宋体" w:hint="eastAsia"/>
          <w:b/>
          <w:color w:val="333333"/>
          <w:kern w:val="0"/>
          <w:sz w:val="30"/>
          <w:szCs w:val="30"/>
          <w:highlight w:val="green"/>
        </w:rPr>
        <w:t>中医药管理部门</w:t>
      </w:r>
      <w:r w:rsidRPr="00CF0E3F">
        <w:rPr>
          <w:rFonts w:ascii="方正兰亭超细黑简体" w:eastAsia="方正兰亭超细黑简体" w:hAnsi="宋体" w:cs="宋体" w:hint="eastAsia"/>
          <w:b/>
          <w:color w:val="333333"/>
          <w:kern w:val="0"/>
          <w:sz w:val="30"/>
          <w:szCs w:val="30"/>
        </w:rPr>
        <w:t>要做好中医药创新工作。</w:t>
      </w:r>
    </w:p>
    <w:p w:rsidR="00410813" w:rsidRDefault="00CF0E3F" w:rsidP="00CF0E3F">
      <w:pPr>
        <w:widowControl/>
        <w:shd w:val="clear" w:color="auto" w:fill="FFFFFF"/>
        <w:spacing w:before="214" w:line="428" w:lineRule="atLeast"/>
        <w:ind w:firstLineChars="198" w:firstLine="596"/>
        <w:jc w:val="left"/>
        <w:rPr>
          <w:rFonts w:ascii="方正兰亭超细黑简体" w:eastAsia="方正兰亭超细黑简体" w:hAnsi="宋体" w:cs="宋体"/>
          <w:b/>
          <w:color w:val="333333"/>
          <w:kern w:val="0"/>
          <w:sz w:val="30"/>
          <w:szCs w:val="30"/>
        </w:rPr>
      </w:pPr>
      <w:r w:rsidRPr="00CF0E3F">
        <w:rPr>
          <w:rFonts w:ascii="方正兰亭超细黑简体" w:eastAsia="方正兰亭超细黑简体" w:hAnsi="宋体" w:cs="宋体" w:hint="eastAsia"/>
          <w:b/>
          <w:color w:val="333333"/>
          <w:kern w:val="0"/>
          <w:sz w:val="30"/>
          <w:szCs w:val="30"/>
        </w:rPr>
        <w:t>（三十六）做好宣传解释。正面宣传鼓励药品医疗器械创新的重要意义，加强审评审批制度改革重要政策、重大措施解读，及时解答社会各界关注的热点问题，主动回应社会关切，合理引导各方预期，营造改革实施的良好舆论氛围。</w:t>
      </w:r>
    </w:p>
    <w:p w:rsidR="00CF0E3F" w:rsidRPr="00CF0E3F" w:rsidRDefault="00CF0E3F" w:rsidP="00CF0E3F">
      <w:pPr>
        <w:widowControl/>
        <w:shd w:val="clear" w:color="auto" w:fill="FFFFFF"/>
        <w:spacing w:before="214" w:line="428" w:lineRule="atLeast"/>
        <w:ind w:firstLineChars="198" w:firstLine="596"/>
        <w:jc w:val="left"/>
        <w:rPr>
          <w:rFonts w:ascii="方正兰亭超细黑简体" w:eastAsia="方正兰亭超细黑简体"/>
          <w:b/>
          <w:sz w:val="30"/>
          <w:szCs w:val="30"/>
        </w:rPr>
      </w:pPr>
    </w:p>
    <w:sectPr w:rsidR="00CF0E3F" w:rsidRPr="00CF0E3F" w:rsidSect="004108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2E" w:rsidRDefault="00223D2E" w:rsidP="00CF0E3F">
      <w:r>
        <w:separator/>
      </w:r>
    </w:p>
  </w:endnote>
  <w:endnote w:type="continuationSeparator" w:id="1">
    <w:p w:rsidR="00223D2E" w:rsidRDefault="00223D2E" w:rsidP="00CF0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兰亭超细黑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11"/>
      <w:docPartObj>
        <w:docPartGallery w:val="Page Numbers (Bottom of Page)"/>
        <w:docPartUnique/>
      </w:docPartObj>
    </w:sdtPr>
    <w:sdtContent>
      <w:sdt>
        <w:sdtPr>
          <w:id w:val="171357217"/>
          <w:docPartObj>
            <w:docPartGallery w:val="Page Numbers (Top of Page)"/>
            <w:docPartUnique/>
          </w:docPartObj>
        </w:sdtPr>
        <w:sdtContent>
          <w:p w:rsidR="00CF0E3F" w:rsidRDefault="00CF0E3F">
            <w:pPr>
              <w:pStyle w:val="a6"/>
              <w:jc w:val="center"/>
            </w:pPr>
            <w:r>
              <w:rPr>
                <w:lang w:val="zh-CN"/>
              </w:rPr>
              <w:t xml:space="preserve"> </w:t>
            </w:r>
            <w:r w:rsidR="009022BC">
              <w:rPr>
                <w:b/>
                <w:sz w:val="24"/>
                <w:szCs w:val="24"/>
              </w:rPr>
              <w:fldChar w:fldCharType="begin"/>
            </w:r>
            <w:r>
              <w:rPr>
                <w:b/>
              </w:rPr>
              <w:instrText>PAGE</w:instrText>
            </w:r>
            <w:r w:rsidR="009022BC">
              <w:rPr>
                <w:b/>
                <w:sz w:val="24"/>
                <w:szCs w:val="24"/>
              </w:rPr>
              <w:fldChar w:fldCharType="separate"/>
            </w:r>
            <w:r w:rsidR="00B6593F">
              <w:rPr>
                <w:b/>
                <w:noProof/>
              </w:rPr>
              <w:t>14</w:t>
            </w:r>
            <w:r w:rsidR="009022BC">
              <w:rPr>
                <w:b/>
                <w:sz w:val="24"/>
                <w:szCs w:val="24"/>
              </w:rPr>
              <w:fldChar w:fldCharType="end"/>
            </w:r>
            <w:r>
              <w:rPr>
                <w:lang w:val="zh-CN"/>
              </w:rPr>
              <w:t xml:space="preserve"> / </w:t>
            </w:r>
            <w:r w:rsidR="009022BC">
              <w:rPr>
                <w:b/>
                <w:sz w:val="24"/>
                <w:szCs w:val="24"/>
              </w:rPr>
              <w:fldChar w:fldCharType="begin"/>
            </w:r>
            <w:r>
              <w:rPr>
                <w:b/>
              </w:rPr>
              <w:instrText>NUMPAGES</w:instrText>
            </w:r>
            <w:r w:rsidR="009022BC">
              <w:rPr>
                <w:b/>
                <w:sz w:val="24"/>
                <w:szCs w:val="24"/>
              </w:rPr>
              <w:fldChar w:fldCharType="separate"/>
            </w:r>
            <w:r w:rsidR="00B6593F">
              <w:rPr>
                <w:b/>
                <w:noProof/>
              </w:rPr>
              <w:t>14</w:t>
            </w:r>
            <w:r w:rsidR="009022BC">
              <w:rPr>
                <w:b/>
                <w:sz w:val="24"/>
                <w:szCs w:val="24"/>
              </w:rPr>
              <w:fldChar w:fldCharType="end"/>
            </w:r>
          </w:p>
        </w:sdtContent>
      </w:sdt>
    </w:sdtContent>
  </w:sdt>
  <w:p w:rsidR="00CF0E3F" w:rsidRDefault="00CF0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2E" w:rsidRDefault="00223D2E" w:rsidP="00CF0E3F">
      <w:r>
        <w:separator/>
      </w:r>
    </w:p>
  </w:footnote>
  <w:footnote w:type="continuationSeparator" w:id="1">
    <w:p w:rsidR="00223D2E" w:rsidRDefault="00223D2E" w:rsidP="00CF0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E3F"/>
    <w:rsid w:val="000C6574"/>
    <w:rsid w:val="00116266"/>
    <w:rsid w:val="001B5407"/>
    <w:rsid w:val="00223D2E"/>
    <w:rsid w:val="00257E60"/>
    <w:rsid w:val="00401FFC"/>
    <w:rsid w:val="00410813"/>
    <w:rsid w:val="004573D8"/>
    <w:rsid w:val="00497E03"/>
    <w:rsid w:val="004C1280"/>
    <w:rsid w:val="006A1650"/>
    <w:rsid w:val="00706AC3"/>
    <w:rsid w:val="007515FD"/>
    <w:rsid w:val="007F5596"/>
    <w:rsid w:val="0083123B"/>
    <w:rsid w:val="009022BC"/>
    <w:rsid w:val="009A23E6"/>
    <w:rsid w:val="00A0462E"/>
    <w:rsid w:val="00AB0A93"/>
    <w:rsid w:val="00B6593F"/>
    <w:rsid w:val="00B67D6F"/>
    <w:rsid w:val="00B93858"/>
    <w:rsid w:val="00C11B68"/>
    <w:rsid w:val="00CF0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13"/>
    <w:pPr>
      <w:widowControl w:val="0"/>
      <w:jc w:val="both"/>
    </w:pPr>
  </w:style>
  <w:style w:type="paragraph" w:styleId="1">
    <w:name w:val="heading 1"/>
    <w:basedOn w:val="a"/>
    <w:link w:val="1Char"/>
    <w:uiPriority w:val="9"/>
    <w:qFormat/>
    <w:rsid w:val="00CF0E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0E3F"/>
    <w:rPr>
      <w:rFonts w:ascii="宋体" w:eastAsia="宋体" w:hAnsi="宋体" w:cs="宋体"/>
      <w:b/>
      <w:bCs/>
      <w:kern w:val="36"/>
      <w:sz w:val="48"/>
      <w:szCs w:val="48"/>
    </w:rPr>
  </w:style>
  <w:style w:type="character" w:customStyle="1" w:styleId="apple-converted-space">
    <w:name w:val="apple-converted-space"/>
    <w:basedOn w:val="a0"/>
    <w:rsid w:val="00CF0E3F"/>
  </w:style>
  <w:style w:type="character" w:customStyle="1" w:styleId="font">
    <w:name w:val="font"/>
    <w:basedOn w:val="a0"/>
    <w:rsid w:val="00CF0E3F"/>
  </w:style>
  <w:style w:type="character" w:customStyle="1" w:styleId="bigger">
    <w:name w:val="bigger"/>
    <w:basedOn w:val="a0"/>
    <w:rsid w:val="00CF0E3F"/>
  </w:style>
  <w:style w:type="character" w:customStyle="1" w:styleId="medium">
    <w:name w:val="medium"/>
    <w:basedOn w:val="a0"/>
    <w:rsid w:val="00CF0E3F"/>
  </w:style>
  <w:style w:type="character" w:customStyle="1" w:styleId="smaller">
    <w:name w:val="smaller"/>
    <w:basedOn w:val="a0"/>
    <w:rsid w:val="00CF0E3F"/>
  </w:style>
  <w:style w:type="character" w:styleId="a3">
    <w:name w:val="Hyperlink"/>
    <w:basedOn w:val="a0"/>
    <w:uiPriority w:val="99"/>
    <w:semiHidden/>
    <w:unhideWhenUsed/>
    <w:rsid w:val="00CF0E3F"/>
    <w:rPr>
      <w:color w:val="0000FF"/>
      <w:u w:val="single"/>
    </w:rPr>
  </w:style>
  <w:style w:type="character" w:customStyle="1" w:styleId="gwdsmore">
    <w:name w:val="gwds_more"/>
    <w:basedOn w:val="a0"/>
    <w:rsid w:val="00CF0E3F"/>
  </w:style>
  <w:style w:type="paragraph" w:styleId="a4">
    <w:name w:val="Normal (Web)"/>
    <w:basedOn w:val="a"/>
    <w:uiPriority w:val="99"/>
    <w:semiHidden/>
    <w:unhideWhenUsed/>
    <w:rsid w:val="00CF0E3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CF0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0E3F"/>
    <w:rPr>
      <w:sz w:val="18"/>
      <w:szCs w:val="18"/>
    </w:rPr>
  </w:style>
  <w:style w:type="paragraph" w:styleId="a6">
    <w:name w:val="footer"/>
    <w:basedOn w:val="a"/>
    <w:link w:val="Char0"/>
    <w:uiPriority w:val="99"/>
    <w:unhideWhenUsed/>
    <w:rsid w:val="00CF0E3F"/>
    <w:pPr>
      <w:tabs>
        <w:tab w:val="center" w:pos="4153"/>
        <w:tab w:val="right" w:pos="8306"/>
      </w:tabs>
      <w:snapToGrid w:val="0"/>
      <w:jc w:val="left"/>
    </w:pPr>
    <w:rPr>
      <w:sz w:val="18"/>
      <w:szCs w:val="18"/>
    </w:rPr>
  </w:style>
  <w:style w:type="character" w:customStyle="1" w:styleId="Char0">
    <w:name w:val="页脚 Char"/>
    <w:basedOn w:val="a0"/>
    <w:link w:val="a6"/>
    <w:uiPriority w:val="99"/>
    <w:rsid w:val="00CF0E3F"/>
    <w:rPr>
      <w:sz w:val="18"/>
      <w:szCs w:val="18"/>
    </w:rPr>
  </w:style>
</w:styles>
</file>

<file path=word/webSettings.xml><?xml version="1.0" encoding="utf-8"?>
<w:webSettings xmlns:r="http://schemas.openxmlformats.org/officeDocument/2006/relationships" xmlns:w="http://schemas.openxmlformats.org/wordprocessingml/2006/main">
  <w:divs>
    <w:div w:id="1594239406">
      <w:bodyDiv w:val="1"/>
      <w:marLeft w:val="0"/>
      <w:marRight w:val="0"/>
      <w:marTop w:val="0"/>
      <w:marBottom w:val="0"/>
      <w:divBdr>
        <w:top w:val="none" w:sz="0" w:space="0" w:color="auto"/>
        <w:left w:val="none" w:sz="0" w:space="0" w:color="auto"/>
        <w:bottom w:val="none" w:sz="0" w:space="0" w:color="auto"/>
        <w:right w:val="none" w:sz="0" w:space="0" w:color="auto"/>
      </w:divBdr>
      <w:divsChild>
        <w:div w:id="1018503734">
          <w:marLeft w:val="0"/>
          <w:marRight w:val="0"/>
          <w:marTop w:val="0"/>
          <w:marBottom w:val="0"/>
          <w:divBdr>
            <w:top w:val="none" w:sz="0" w:space="0" w:color="auto"/>
            <w:left w:val="none" w:sz="0" w:space="0" w:color="auto"/>
            <w:bottom w:val="single" w:sz="6" w:space="0" w:color="DCDCDC"/>
            <w:right w:val="none" w:sz="0" w:space="0" w:color="auto"/>
          </w:divBdr>
          <w:divsChild>
            <w:div w:id="1725832813">
              <w:marLeft w:val="0"/>
              <w:marRight w:val="0"/>
              <w:marTop w:val="0"/>
              <w:marBottom w:val="0"/>
              <w:divBdr>
                <w:top w:val="none" w:sz="0" w:space="0" w:color="auto"/>
                <w:left w:val="none" w:sz="0" w:space="0" w:color="auto"/>
                <w:bottom w:val="none" w:sz="0" w:space="0" w:color="auto"/>
                <w:right w:val="none" w:sz="0" w:space="0" w:color="auto"/>
              </w:divBdr>
              <w:divsChild>
                <w:div w:id="380400664">
                  <w:marLeft w:val="0"/>
                  <w:marRight w:val="0"/>
                  <w:marTop w:val="0"/>
                  <w:marBottom w:val="0"/>
                  <w:divBdr>
                    <w:top w:val="none" w:sz="0" w:space="0" w:color="auto"/>
                    <w:left w:val="none" w:sz="0" w:space="0" w:color="auto"/>
                    <w:bottom w:val="none" w:sz="0" w:space="0" w:color="auto"/>
                    <w:right w:val="none" w:sz="0" w:space="0" w:color="auto"/>
                  </w:divBdr>
                  <w:divsChild>
                    <w:div w:id="701979134">
                      <w:marLeft w:val="0"/>
                      <w:marRight w:val="0"/>
                      <w:marTop w:val="0"/>
                      <w:marBottom w:val="0"/>
                      <w:divBdr>
                        <w:top w:val="none" w:sz="0" w:space="0" w:color="auto"/>
                        <w:left w:val="none" w:sz="0" w:space="0" w:color="auto"/>
                        <w:bottom w:val="none" w:sz="0" w:space="0" w:color="auto"/>
                        <w:right w:val="none" w:sz="0" w:space="0" w:color="auto"/>
                      </w:divBdr>
                      <w:divsChild>
                        <w:div w:id="8328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17-10/08/content_523010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14</Pages>
  <Words>1045</Words>
  <Characters>5963</Characters>
  <Application>Microsoft Office Word</Application>
  <DocSecurity>0</DocSecurity>
  <Lines>49</Lines>
  <Paragraphs>13</Paragraphs>
  <ScaleCrop>false</ScaleCrop>
  <Company>微软用户</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微软中国</cp:lastModifiedBy>
  <cp:revision>15</cp:revision>
  <cp:lastPrinted>2017-10-09T00:16:00Z</cp:lastPrinted>
  <dcterms:created xsi:type="dcterms:W3CDTF">2017-10-09T00:10:00Z</dcterms:created>
  <dcterms:modified xsi:type="dcterms:W3CDTF">2017-10-09T09:12:00Z</dcterms:modified>
</cp:coreProperties>
</file>